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Y="1215"/>
        <w:tblW w:w="5000" w:type="pct"/>
        <w:tblBorders>
          <w:top w:val="single" w:sz="6" w:space="0" w:color="999999"/>
          <w:left w:val="single" w:sz="6" w:space="0" w:color="CCCCCC"/>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2"/>
        <w:gridCol w:w="6928"/>
      </w:tblGrid>
      <w:tr w:rsidR="00561E2C" w:rsidRPr="00561E2C" w:rsidTr="00561E2C">
        <w:tc>
          <w:tcPr>
            <w:tcW w:w="0" w:type="auto"/>
            <w:tcBorders>
              <w:top w:val="outset" w:sz="6" w:space="0" w:color="auto"/>
              <w:left w:val="outset" w:sz="6" w:space="0" w:color="auto"/>
              <w:bottom w:val="single" w:sz="6" w:space="0" w:color="999999"/>
              <w:right w:val="single" w:sz="6" w:space="0" w:color="CCCCCC"/>
            </w:tcBorders>
            <w:tcMar>
              <w:top w:w="90" w:type="dxa"/>
              <w:left w:w="90" w:type="dxa"/>
              <w:bottom w:w="90" w:type="dxa"/>
              <w:right w:w="90" w:type="dxa"/>
            </w:tcMar>
            <w:vAlign w:val="center"/>
            <w:hideMark/>
          </w:tcPr>
          <w:p w:rsidR="00561E2C" w:rsidRPr="00561E2C" w:rsidRDefault="00561E2C" w:rsidP="00561E2C">
            <w:pPr>
              <w:spacing w:after="300" w:line="240" w:lineRule="auto"/>
              <w:jc w:val="center"/>
              <w:rPr>
                <w:rFonts w:ascii="Arial" w:eastAsia="Times New Roman" w:hAnsi="Arial" w:cs="Arial"/>
                <w:color w:val="444444"/>
                <w:sz w:val="18"/>
                <w:szCs w:val="18"/>
              </w:rPr>
            </w:pPr>
            <w:r w:rsidRPr="00561E2C">
              <w:rPr>
                <w:rFonts w:ascii="Arial" w:eastAsia="Times New Roman" w:hAnsi="Arial" w:cs="Arial"/>
                <w:b/>
                <w:bCs/>
                <w:color w:val="444444"/>
                <w:sz w:val="18"/>
                <w:szCs w:val="18"/>
              </w:rPr>
              <w:t>Measure Type</w:t>
            </w:r>
          </w:p>
        </w:tc>
        <w:tc>
          <w:tcPr>
            <w:tcW w:w="0" w:type="auto"/>
            <w:tcBorders>
              <w:top w:val="outset" w:sz="6" w:space="0" w:color="auto"/>
              <w:left w:val="outset" w:sz="6" w:space="0" w:color="auto"/>
              <w:bottom w:val="single" w:sz="6" w:space="0" w:color="999999"/>
              <w:right w:val="single" w:sz="6" w:space="0" w:color="CCCCCC"/>
            </w:tcBorders>
            <w:tcMar>
              <w:top w:w="90" w:type="dxa"/>
              <w:left w:w="90" w:type="dxa"/>
              <w:bottom w:w="90" w:type="dxa"/>
              <w:right w:w="90" w:type="dxa"/>
            </w:tcMar>
            <w:vAlign w:val="center"/>
            <w:hideMark/>
          </w:tcPr>
          <w:p w:rsidR="00561E2C" w:rsidRPr="00561E2C" w:rsidRDefault="00561E2C" w:rsidP="00561E2C">
            <w:pPr>
              <w:spacing w:after="300" w:line="240" w:lineRule="auto"/>
              <w:jc w:val="center"/>
              <w:rPr>
                <w:rFonts w:ascii="Arial" w:eastAsia="Times New Roman" w:hAnsi="Arial" w:cs="Arial"/>
                <w:color w:val="444444"/>
                <w:sz w:val="18"/>
                <w:szCs w:val="18"/>
              </w:rPr>
            </w:pPr>
            <w:r w:rsidRPr="00561E2C">
              <w:rPr>
                <w:rFonts w:ascii="Arial" w:eastAsia="Times New Roman" w:hAnsi="Arial" w:cs="Arial"/>
                <w:b/>
                <w:bCs/>
                <w:color w:val="444444"/>
                <w:sz w:val="18"/>
                <w:szCs w:val="18"/>
              </w:rPr>
              <w:t>Definition</w:t>
            </w:r>
          </w:p>
        </w:tc>
      </w:tr>
      <w:tr w:rsidR="00561E2C" w:rsidRPr="00561E2C" w:rsidTr="00561E2C">
        <w:tc>
          <w:tcPr>
            <w:tcW w:w="0" w:type="auto"/>
            <w:tcBorders>
              <w:top w:val="outset" w:sz="6" w:space="0" w:color="auto"/>
              <w:left w:val="outset" w:sz="6" w:space="0" w:color="auto"/>
              <w:bottom w:val="single" w:sz="6" w:space="0" w:color="999999"/>
              <w:right w:val="single" w:sz="6" w:space="0" w:color="CCCCCC"/>
            </w:tcBorders>
            <w:tcMar>
              <w:top w:w="90" w:type="dxa"/>
              <w:left w:w="90" w:type="dxa"/>
              <w:bottom w:w="90" w:type="dxa"/>
              <w:right w:w="90" w:type="dxa"/>
            </w:tcMar>
            <w:vAlign w:val="center"/>
            <w:hideMark/>
          </w:tcPr>
          <w:p w:rsidR="00561E2C" w:rsidRPr="00561E2C" w:rsidRDefault="00561E2C" w:rsidP="00561E2C">
            <w:pPr>
              <w:spacing w:after="300" w:line="240" w:lineRule="auto"/>
              <w:jc w:val="center"/>
              <w:rPr>
                <w:rFonts w:ascii="Arial" w:eastAsia="Times New Roman" w:hAnsi="Arial" w:cs="Arial"/>
                <w:color w:val="444444"/>
                <w:sz w:val="18"/>
                <w:szCs w:val="18"/>
              </w:rPr>
            </w:pPr>
            <w:r w:rsidRPr="00561E2C">
              <w:rPr>
                <w:rFonts w:ascii="Arial" w:eastAsia="Times New Roman" w:hAnsi="Arial" w:cs="Arial"/>
                <w:color w:val="444444"/>
                <w:sz w:val="18"/>
                <w:szCs w:val="18"/>
              </w:rPr>
              <w:t>Retention Rate</w:t>
            </w:r>
            <w:r w:rsidR="00333358">
              <w:rPr>
                <w:rFonts w:ascii="Arial" w:eastAsia="Times New Roman" w:hAnsi="Arial" w:cs="Arial"/>
                <w:color w:val="444444"/>
                <w:sz w:val="18"/>
                <w:szCs w:val="18"/>
              </w:rPr>
              <w:t xml:space="preserve"> (</w:t>
            </w:r>
            <w:r w:rsidR="00333358" w:rsidRPr="00333358">
              <w:rPr>
                <w:rFonts w:ascii="Arial" w:eastAsia="Times New Roman" w:hAnsi="Arial" w:cs="Arial"/>
                <w:color w:val="444444"/>
                <w:sz w:val="18"/>
                <w:szCs w:val="18"/>
              </w:rPr>
              <w:t>Students Who Return After Their First Year</w:t>
            </w:r>
            <w:r w:rsidR="00333358">
              <w:rPr>
                <w:rFonts w:ascii="Arial" w:eastAsia="Times New Roman" w:hAnsi="Arial" w:cs="Arial"/>
                <w:color w:val="444444"/>
                <w:sz w:val="18"/>
                <w:szCs w:val="18"/>
              </w:rPr>
              <w:t>)</w:t>
            </w:r>
          </w:p>
        </w:tc>
        <w:tc>
          <w:tcPr>
            <w:tcW w:w="0" w:type="auto"/>
            <w:tcBorders>
              <w:top w:val="outset" w:sz="6" w:space="0" w:color="auto"/>
              <w:left w:val="outset" w:sz="6" w:space="0" w:color="auto"/>
              <w:bottom w:val="single" w:sz="6" w:space="0" w:color="999999"/>
              <w:right w:val="single" w:sz="6" w:space="0" w:color="CCCCCC"/>
            </w:tcBorders>
            <w:tcMar>
              <w:top w:w="90" w:type="dxa"/>
              <w:left w:w="90" w:type="dxa"/>
              <w:bottom w:w="90" w:type="dxa"/>
              <w:right w:w="90" w:type="dxa"/>
            </w:tcMar>
            <w:vAlign w:val="center"/>
            <w:hideMark/>
          </w:tcPr>
          <w:p w:rsidR="00561E2C" w:rsidRPr="00561E2C" w:rsidRDefault="00561E2C" w:rsidP="00561E2C">
            <w:pPr>
              <w:spacing w:after="300" w:line="240" w:lineRule="auto"/>
              <w:rPr>
                <w:rFonts w:ascii="Arial" w:eastAsia="Times New Roman" w:hAnsi="Arial" w:cs="Arial"/>
                <w:color w:val="444444"/>
                <w:sz w:val="18"/>
                <w:szCs w:val="18"/>
              </w:rPr>
            </w:pPr>
            <w:r w:rsidRPr="00561E2C">
              <w:rPr>
                <w:rFonts w:ascii="Arial" w:eastAsia="Times New Roman" w:hAnsi="Arial" w:cs="Arial"/>
                <w:color w:val="444444"/>
                <w:sz w:val="18"/>
                <w:szCs w:val="18"/>
              </w:rPr>
              <w:t xml:space="preserve">Measures full-time and part-time Post-9/11 GI Bill student's attendance at the same institution over time. </w:t>
            </w:r>
          </w:p>
        </w:tc>
      </w:tr>
      <w:tr w:rsidR="00561E2C" w:rsidRPr="00561E2C" w:rsidTr="00561E2C">
        <w:tc>
          <w:tcPr>
            <w:tcW w:w="0" w:type="auto"/>
            <w:tcBorders>
              <w:top w:val="outset" w:sz="6" w:space="0" w:color="auto"/>
              <w:left w:val="outset" w:sz="6" w:space="0" w:color="auto"/>
              <w:bottom w:val="single" w:sz="6" w:space="0" w:color="999999"/>
              <w:right w:val="single" w:sz="6" w:space="0" w:color="CCCCCC"/>
            </w:tcBorders>
            <w:tcMar>
              <w:top w:w="90" w:type="dxa"/>
              <w:left w:w="90" w:type="dxa"/>
              <w:bottom w:w="90" w:type="dxa"/>
              <w:right w:w="90" w:type="dxa"/>
            </w:tcMar>
            <w:vAlign w:val="center"/>
            <w:hideMark/>
          </w:tcPr>
          <w:p w:rsidR="00561E2C" w:rsidRPr="00333358" w:rsidRDefault="00561E2C" w:rsidP="00561E2C">
            <w:pPr>
              <w:spacing w:after="300" w:line="240" w:lineRule="auto"/>
              <w:jc w:val="center"/>
              <w:rPr>
                <w:rFonts w:ascii="Arial" w:eastAsia="Times New Roman" w:hAnsi="Arial" w:cs="Arial"/>
                <w:strike/>
                <w:color w:val="444444"/>
                <w:sz w:val="18"/>
                <w:szCs w:val="18"/>
              </w:rPr>
            </w:pPr>
            <w:r w:rsidRPr="00333358">
              <w:rPr>
                <w:rFonts w:ascii="Arial" w:eastAsia="Times New Roman" w:hAnsi="Arial" w:cs="Arial"/>
                <w:strike/>
                <w:color w:val="444444"/>
                <w:sz w:val="18"/>
                <w:szCs w:val="18"/>
              </w:rPr>
              <w:t>Persistence Rate</w:t>
            </w:r>
          </w:p>
        </w:tc>
        <w:tc>
          <w:tcPr>
            <w:tcW w:w="0" w:type="auto"/>
            <w:tcBorders>
              <w:top w:val="outset" w:sz="6" w:space="0" w:color="auto"/>
              <w:left w:val="outset" w:sz="6" w:space="0" w:color="auto"/>
              <w:bottom w:val="single" w:sz="6" w:space="0" w:color="999999"/>
              <w:right w:val="single" w:sz="6" w:space="0" w:color="CCCCCC"/>
            </w:tcBorders>
            <w:tcMar>
              <w:top w:w="90" w:type="dxa"/>
              <w:left w:w="90" w:type="dxa"/>
              <w:bottom w:w="90" w:type="dxa"/>
              <w:right w:w="90" w:type="dxa"/>
            </w:tcMar>
            <w:vAlign w:val="center"/>
            <w:hideMark/>
          </w:tcPr>
          <w:p w:rsidR="00561E2C" w:rsidRPr="00333358" w:rsidRDefault="00561E2C" w:rsidP="00561E2C">
            <w:pPr>
              <w:spacing w:after="300" w:line="240" w:lineRule="auto"/>
              <w:rPr>
                <w:rFonts w:ascii="Arial" w:eastAsia="Times New Roman" w:hAnsi="Arial" w:cs="Arial"/>
                <w:strike/>
                <w:color w:val="444444"/>
                <w:sz w:val="18"/>
                <w:szCs w:val="18"/>
              </w:rPr>
            </w:pPr>
            <w:r w:rsidRPr="00333358">
              <w:rPr>
                <w:rFonts w:ascii="Arial" w:eastAsia="Times New Roman" w:hAnsi="Arial" w:cs="Arial"/>
                <w:strike/>
                <w:color w:val="444444"/>
                <w:sz w:val="18"/>
                <w:szCs w:val="18"/>
              </w:rPr>
              <w:t>Measures full-time and part-time Post-9/11 GI Bill student's attendance at multiple schools over time.</w:t>
            </w:r>
          </w:p>
        </w:tc>
      </w:tr>
      <w:tr w:rsidR="00561E2C" w:rsidRPr="00561E2C" w:rsidTr="00561E2C">
        <w:tc>
          <w:tcPr>
            <w:tcW w:w="0" w:type="auto"/>
            <w:tcBorders>
              <w:top w:val="outset" w:sz="6" w:space="0" w:color="auto"/>
              <w:left w:val="outset" w:sz="6" w:space="0" w:color="auto"/>
              <w:bottom w:val="single" w:sz="6" w:space="0" w:color="999999"/>
              <w:right w:val="single" w:sz="6" w:space="0" w:color="CCCCCC"/>
            </w:tcBorders>
            <w:tcMar>
              <w:top w:w="90" w:type="dxa"/>
              <w:left w:w="90" w:type="dxa"/>
              <w:bottom w:w="90" w:type="dxa"/>
              <w:right w:w="90" w:type="dxa"/>
            </w:tcMar>
            <w:vAlign w:val="center"/>
            <w:hideMark/>
          </w:tcPr>
          <w:p w:rsidR="00561E2C" w:rsidRPr="00333358" w:rsidRDefault="00561E2C" w:rsidP="00561E2C">
            <w:pPr>
              <w:spacing w:after="300" w:line="240" w:lineRule="auto"/>
              <w:jc w:val="center"/>
              <w:rPr>
                <w:rFonts w:ascii="Arial" w:eastAsia="Times New Roman" w:hAnsi="Arial" w:cs="Arial"/>
                <w:strike/>
                <w:color w:val="444444"/>
                <w:sz w:val="18"/>
                <w:szCs w:val="18"/>
              </w:rPr>
            </w:pPr>
            <w:r w:rsidRPr="00333358">
              <w:rPr>
                <w:rFonts w:ascii="Arial" w:eastAsia="Times New Roman" w:hAnsi="Arial" w:cs="Arial"/>
                <w:strike/>
                <w:color w:val="444444"/>
                <w:sz w:val="18"/>
                <w:szCs w:val="18"/>
              </w:rPr>
              <w:t>Transfer-Out Rate</w:t>
            </w:r>
          </w:p>
        </w:tc>
        <w:tc>
          <w:tcPr>
            <w:tcW w:w="0" w:type="auto"/>
            <w:tcBorders>
              <w:top w:val="outset" w:sz="6" w:space="0" w:color="auto"/>
              <w:left w:val="outset" w:sz="6" w:space="0" w:color="auto"/>
              <w:bottom w:val="single" w:sz="6" w:space="0" w:color="999999"/>
              <w:right w:val="single" w:sz="6" w:space="0" w:color="CCCCCC"/>
            </w:tcBorders>
            <w:tcMar>
              <w:top w:w="90" w:type="dxa"/>
              <w:left w:w="90" w:type="dxa"/>
              <w:bottom w:w="90" w:type="dxa"/>
              <w:right w:w="90" w:type="dxa"/>
            </w:tcMar>
            <w:vAlign w:val="center"/>
            <w:hideMark/>
          </w:tcPr>
          <w:p w:rsidR="00561E2C" w:rsidRPr="00333358" w:rsidRDefault="00561E2C" w:rsidP="00561E2C">
            <w:pPr>
              <w:spacing w:after="300" w:line="240" w:lineRule="auto"/>
              <w:rPr>
                <w:rFonts w:ascii="Arial" w:eastAsia="Times New Roman" w:hAnsi="Arial" w:cs="Arial"/>
                <w:strike/>
                <w:color w:val="444444"/>
                <w:sz w:val="18"/>
                <w:szCs w:val="18"/>
              </w:rPr>
            </w:pPr>
            <w:r w:rsidRPr="00333358">
              <w:rPr>
                <w:rFonts w:ascii="Arial" w:eastAsia="Times New Roman" w:hAnsi="Arial" w:cs="Arial"/>
                <w:strike/>
                <w:color w:val="444444"/>
                <w:sz w:val="18"/>
                <w:szCs w:val="18"/>
              </w:rPr>
              <w:t>Measures full-time and part-time Post-9/11 GI Bill students who transfer within 150% (3 years) and 200% (4 years) of normal program length.</w:t>
            </w:r>
          </w:p>
        </w:tc>
      </w:tr>
      <w:tr w:rsidR="00561E2C" w:rsidRPr="00561E2C" w:rsidTr="00561E2C">
        <w:tc>
          <w:tcPr>
            <w:tcW w:w="0" w:type="auto"/>
            <w:tcBorders>
              <w:top w:val="outset" w:sz="6" w:space="0" w:color="auto"/>
              <w:left w:val="outset" w:sz="6" w:space="0" w:color="auto"/>
              <w:bottom w:val="single" w:sz="6" w:space="0" w:color="999999"/>
              <w:right w:val="single" w:sz="6" w:space="0" w:color="CCCCCC"/>
            </w:tcBorders>
            <w:tcMar>
              <w:top w:w="90" w:type="dxa"/>
              <w:left w:w="90" w:type="dxa"/>
              <w:bottom w:w="90" w:type="dxa"/>
              <w:right w:w="90" w:type="dxa"/>
            </w:tcMar>
            <w:vAlign w:val="center"/>
            <w:hideMark/>
          </w:tcPr>
          <w:p w:rsidR="00561E2C" w:rsidRPr="00561E2C" w:rsidRDefault="00561E2C" w:rsidP="00561E2C">
            <w:pPr>
              <w:spacing w:after="300" w:line="240" w:lineRule="auto"/>
              <w:jc w:val="center"/>
              <w:rPr>
                <w:rFonts w:ascii="Arial" w:eastAsia="Times New Roman" w:hAnsi="Arial" w:cs="Arial"/>
                <w:color w:val="444444"/>
                <w:sz w:val="18"/>
                <w:szCs w:val="18"/>
              </w:rPr>
            </w:pPr>
            <w:r w:rsidRPr="00561E2C">
              <w:rPr>
                <w:rFonts w:ascii="Arial" w:eastAsia="Times New Roman" w:hAnsi="Arial" w:cs="Arial"/>
                <w:color w:val="444444"/>
                <w:sz w:val="18"/>
                <w:szCs w:val="18"/>
              </w:rPr>
              <w:t>Graduation Rate</w:t>
            </w:r>
            <w:r w:rsidR="00333358">
              <w:rPr>
                <w:rFonts w:ascii="Arial" w:eastAsia="Times New Roman" w:hAnsi="Arial" w:cs="Arial"/>
                <w:color w:val="444444"/>
                <w:sz w:val="18"/>
                <w:szCs w:val="18"/>
              </w:rPr>
              <w:t xml:space="preserve"> (GRADUATION RATE)</w:t>
            </w:r>
          </w:p>
        </w:tc>
        <w:tc>
          <w:tcPr>
            <w:tcW w:w="0" w:type="auto"/>
            <w:tcBorders>
              <w:top w:val="outset" w:sz="6" w:space="0" w:color="auto"/>
              <w:left w:val="outset" w:sz="6" w:space="0" w:color="auto"/>
              <w:bottom w:val="single" w:sz="6" w:space="0" w:color="999999"/>
              <w:right w:val="single" w:sz="6" w:space="0" w:color="CCCCCC"/>
            </w:tcBorders>
            <w:tcMar>
              <w:top w:w="90" w:type="dxa"/>
              <w:left w:w="90" w:type="dxa"/>
              <w:bottom w:w="90" w:type="dxa"/>
              <w:right w:w="90" w:type="dxa"/>
            </w:tcMar>
            <w:vAlign w:val="center"/>
            <w:hideMark/>
          </w:tcPr>
          <w:p w:rsidR="00561E2C" w:rsidRPr="00561E2C" w:rsidRDefault="00561E2C" w:rsidP="00561E2C">
            <w:pPr>
              <w:spacing w:after="300" w:line="240" w:lineRule="auto"/>
              <w:rPr>
                <w:rFonts w:ascii="Arial" w:eastAsia="Times New Roman" w:hAnsi="Arial" w:cs="Arial"/>
                <w:color w:val="444444"/>
                <w:sz w:val="18"/>
                <w:szCs w:val="18"/>
              </w:rPr>
            </w:pPr>
            <w:r w:rsidRPr="00561E2C">
              <w:rPr>
                <w:rFonts w:ascii="Arial" w:eastAsia="Times New Roman" w:hAnsi="Arial" w:cs="Arial"/>
                <w:color w:val="444444"/>
                <w:sz w:val="18"/>
                <w:szCs w:val="18"/>
              </w:rPr>
              <w:t>Measures full-time and part-time Post-9/11 GI Bill student's graduation reported within the VA system while the student is using benefits.</w:t>
            </w:r>
          </w:p>
        </w:tc>
      </w:tr>
      <w:tr w:rsidR="00561E2C" w:rsidRPr="00561E2C" w:rsidTr="00333358">
        <w:tc>
          <w:tcPr>
            <w:tcW w:w="0" w:type="auto"/>
            <w:tcBorders>
              <w:top w:val="outset" w:sz="6" w:space="0" w:color="auto"/>
              <w:left w:val="outset" w:sz="6" w:space="0" w:color="auto"/>
              <w:bottom w:val="outset" w:sz="6" w:space="0" w:color="auto"/>
              <w:right w:val="single" w:sz="6" w:space="0" w:color="CCCCCC"/>
            </w:tcBorders>
            <w:tcMar>
              <w:top w:w="90" w:type="dxa"/>
              <w:left w:w="90" w:type="dxa"/>
              <w:bottom w:w="90" w:type="dxa"/>
              <w:right w:w="90" w:type="dxa"/>
            </w:tcMar>
            <w:vAlign w:val="center"/>
            <w:hideMark/>
          </w:tcPr>
          <w:p w:rsidR="00561E2C" w:rsidRPr="00333358" w:rsidRDefault="00561E2C" w:rsidP="00561E2C">
            <w:pPr>
              <w:spacing w:after="300" w:line="240" w:lineRule="auto"/>
              <w:jc w:val="center"/>
              <w:rPr>
                <w:rFonts w:ascii="Arial" w:eastAsia="Times New Roman" w:hAnsi="Arial" w:cs="Arial"/>
                <w:strike/>
                <w:color w:val="444444"/>
                <w:sz w:val="18"/>
                <w:szCs w:val="18"/>
              </w:rPr>
            </w:pPr>
            <w:r w:rsidRPr="00333358">
              <w:rPr>
                <w:rFonts w:ascii="Arial" w:eastAsia="Times New Roman" w:hAnsi="Arial" w:cs="Arial"/>
                <w:strike/>
                <w:color w:val="444444"/>
                <w:sz w:val="18"/>
                <w:szCs w:val="18"/>
              </w:rPr>
              <w:t>Certificate of Completion</w:t>
            </w:r>
          </w:p>
        </w:tc>
        <w:tc>
          <w:tcPr>
            <w:tcW w:w="0" w:type="auto"/>
            <w:tcBorders>
              <w:top w:val="outset" w:sz="6" w:space="0" w:color="auto"/>
              <w:left w:val="outset" w:sz="6" w:space="0" w:color="auto"/>
              <w:bottom w:val="outset" w:sz="6" w:space="0" w:color="auto"/>
              <w:right w:val="single" w:sz="6" w:space="0" w:color="CCCCCC"/>
            </w:tcBorders>
            <w:tcMar>
              <w:top w:w="90" w:type="dxa"/>
              <w:left w:w="90" w:type="dxa"/>
              <w:bottom w:w="90" w:type="dxa"/>
              <w:right w:w="90" w:type="dxa"/>
            </w:tcMar>
            <w:vAlign w:val="center"/>
            <w:hideMark/>
          </w:tcPr>
          <w:p w:rsidR="00561E2C" w:rsidRPr="00333358" w:rsidRDefault="00561E2C" w:rsidP="00561E2C">
            <w:pPr>
              <w:spacing w:after="300" w:line="240" w:lineRule="auto"/>
              <w:rPr>
                <w:rFonts w:ascii="Arial" w:eastAsia="Times New Roman" w:hAnsi="Arial" w:cs="Arial"/>
                <w:strike/>
                <w:color w:val="444444"/>
                <w:sz w:val="18"/>
                <w:szCs w:val="18"/>
              </w:rPr>
            </w:pPr>
            <w:r w:rsidRPr="00333358">
              <w:rPr>
                <w:rFonts w:ascii="Arial" w:eastAsia="Times New Roman" w:hAnsi="Arial" w:cs="Arial"/>
                <w:strike/>
                <w:color w:val="444444"/>
                <w:sz w:val="18"/>
                <w:szCs w:val="18"/>
              </w:rPr>
              <w:t>Measures full-time and part-time Post-9/11 GI Bill Student Veterans’ certificate of completion at an approved school (which is not an Institution of Higher Learning) that is reported within the VA system while the student is using benefits.</w:t>
            </w:r>
          </w:p>
        </w:tc>
      </w:tr>
      <w:tr w:rsidR="00333358" w:rsidRPr="00561E2C" w:rsidTr="00C8100D">
        <w:tc>
          <w:tcPr>
            <w:tcW w:w="0" w:type="auto"/>
            <w:tcBorders>
              <w:top w:val="outset" w:sz="6" w:space="0" w:color="auto"/>
              <w:left w:val="outset" w:sz="6" w:space="0" w:color="auto"/>
              <w:bottom w:val="outset" w:sz="6" w:space="0" w:color="auto"/>
              <w:right w:val="single" w:sz="6" w:space="0" w:color="CCCCCC"/>
            </w:tcBorders>
            <w:tcMar>
              <w:top w:w="90" w:type="dxa"/>
              <w:left w:w="90" w:type="dxa"/>
              <w:bottom w:w="90" w:type="dxa"/>
              <w:right w:w="90" w:type="dxa"/>
            </w:tcMar>
            <w:vAlign w:val="center"/>
          </w:tcPr>
          <w:p w:rsidR="00333358" w:rsidRPr="00333358" w:rsidRDefault="00333358" w:rsidP="00561E2C">
            <w:pPr>
              <w:spacing w:after="300" w:line="240" w:lineRule="auto"/>
              <w:jc w:val="center"/>
              <w:rPr>
                <w:rFonts w:ascii="Arial" w:eastAsia="Times New Roman" w:hAnsi="Arial" w:cs="Arial"/>
                <w:color w:val="444444"/>
                <w:sz w:val="18"/>
                <w:szCs w:val="18"/>
              </w:rPr>
            </w:pPr>
            <w:r w:rsidRPr="00333358">
              <w:rPr>
                <w:rFonts w:ascii="Arial" w:eastAsia="Times New Roman" w:hAnsi="Arial" w:cs="Arial"/>
                <w:color w:val="444444"/>
                <w:sz w:val="18"/>
                <w:szCs w:val="18"/>
              </w:rPr>
              <w:t>(Average Salaries)</w:t>
            </w:r>
          </w:p>
        </w:tc>
        <w:tc>
          <w:tcPr>
            <w:tcW w:w="0" w:type="auto"/>
            <w:tcBorders>
              <w:top w:val="outset" w:sz="6" w:space="0" w:color="auto"/>
              <w:left w:val="outset" w:sz="6" w:space="0" w:color="auto"/>
              <w:bottom w:val="outset" w:sz="6" w:space="0" w:color="auto"/>
              <w:right w:val="single" w:sz="6" w:space="0" w:color="CCCCCC"/>
            </w:tcBorders>
            <w:tcMar>
              <w:top w:w="90" w:type="dxa"/>
              <w:left w:w="90" w:type="dxa"/>
              <w:bottom w:w="90" w:type="dxa"/>
              <w:right w:w="90" w:type="dxa"/>
            </w:tcMar>
            <w:vAlign w:val="center"/>
          </w:tcPr>
          <w:p w:rsidR="00333358" w:rsidRPr="00C8100D" w:rsidRDefault="00C8100D" w:rsidP="00561E2C">
            <w:pPr>
              <w:spacing w:after="300" w:line="240" w:lineRule="auto"/>
              <w:rPr>
                <w:rFonts w:ascii="Arial" w:eastAsia="Times New Roman" w:hAnsi="Arial" w:cs="Arial"/>
                <w:color w:val="444444"/>
                <w:sz w:val="18"/>
                <w:szCs w:val="18"/>
              </w:rPr>
            </w:pPr>
            <w:r>
              <w:rPr>
                <w:rFonts w:ascii="Arial" w:eastAsia="Times New Roman" w:hAnsi="Arial" w:cs="Arial"/>
                <w:color w:val="444444"/>
                <w:sz w:val="18"/>
                <w:szCs w:val="18"/>
              </w:rPr>
              <w:t>The median earnings of former students who received federal financial aid, at 10 years after entering school.</w:t>
            </w:r>
          </w:p>
        </w:tc>
      </w:tr>
      <w:tr w:rsidR="00C8100D" w:rsidRPr="00561E2C" w:rsidTr="00561E2C">
        <w:tc>
          <w:tcPr>
            <w:tcW w:w="0" w:type="auto"/>
            <w:tcBorders>
              <w:top w:val="outset" w:sz="6" w:space="0" w:color="auto"/>
              <w:left w:val="outset" w:sz="6" w:space="0" w:color="auto"/>
              <w:bottom w:val="single" w:sz="6" w:space="0" w:color="999999"/>
              <w:right w:val="single" w:sz="6" w:space="0" w:color="CCCCCC"/>
            </w:tcBorders>
            <w:tcMar>
              <w:top w:w="90" w:type="dxa"/>
              <w:left w:w="90" w:type="dxa"/>
              <w:bottom w:w="90" w:type="dxa"/>
              <w:right w:w="90" w:type="dxa"/>
            </w:tcMar>
            <w:vAlign w:val="center"/>
          </w:tcPr>
          <w:p w:rsidR="00C8100D" w:rsidRPr="00333358" w:rsidRDefault="00C8100D" w:rsidP="00561E2C">
            <w:pPr>
              <w:spacing w:after="300" w:line="240" w:lineRule="auto"/>
              <w:jc w:val="center"/>
              <w:rPr>
                <w:rFonts w:ascii="Arial" w:eastAsia="Times New Roman" w:hAnsi="Arial" w:cs="Arial"/>
                <w:color w:val="444444"/>
                <w:sz w:val="18"/>
                <w:szCs w:val="18"/>
              </w:rPr>
            </w:pPr>
            <w:r>
              <w:rPr>
                <w:rFonts w:ascii="Arial" w:eastAsia="Times New Roman" w:hAnsi="Arial" w:cs="Arial"/>
                <w:color w:val="444444"/>
                <w:sz w:val="18"/>
                <w:szCs w:val="18"/>
              </w:rPr>
              <w:t>(Loan Repayment Rate)</w:t>
            </w:r>
          </w:p>
        </w:tc>
        <w:tc>
          <w:tcPr>
            <w:tcW w:w="0" w:type="auto"/>
            <w:tcBorders>
              <w:top w:val="outset" w:sz="6" w:space="0" w:color="auto"/>
              <w:left w:val="outset" w:sz="6" w:space="0" w:color="auto"/>
              <w:bottom w:val="single" w:sz="6" w:space="0" w:color="999999"/>
              <w:right w:val="single" w:sz="6" w:space="0" w:color="CCCCCC"/>
            </w:tcBorders>
            <w:tcMar>
              <w:top w:w="90" w:type="dxa"/>
              <w:left w:w="90" w:type="dxa"/>
              <w:bottom w:w="90" w:type="dxa"/>
              <w:right w:w="90" w:type="dxa"/>
            </w:tcMar>
            <w:vAlign w:val="center"/>
          </w:tcPr>
          <w:p w:rsidR="00C8100D" w:rsidRDefault="00C8100D" w:rsidP="00561E2C">
            <w:pPr>
              <w:spacing w:after="300" w:line="240" w:lineRule="auto"/>
              <w:rPr>
                <w:rFonts w:ascii="Arial" w:eastAsia="Times New Roman" w:hAnsi="Arial" w:cs="Arial"/>
                <w:color w:val="444444"/>
                <w:sz w:val="18"/>
                <w:szCs w:val="18"/>
              </w:rPr>
            </w:pPr>
            <w:bookmarkStart w:id="0" w:name="_GoBack"/>
            <w:r>
              <w:rPr>
                <w:rFonts w:ascii="Arial" w:eastAsia="Times New Roman" w:hAnsi="Arial" w:cs="Arial"/>
                <w:color w:val="444444"/>
                <w:sz w:val="18"/>
                <w:szCs w:val="18"/>
              </w:rPr>
              <w:t>The share of students who have repaid at least $1 of the principal balance on their federal loads within 3 years of leaving school</w:t>
            </w:r>
            <w:bookmarkEnd w:id="0"/>
            <w:r>
              <w:rPr>
                <w:rFonts w:ascii="Arial" w:eastAsia="Times New Roman" w:hAnsi="Arial" w:cs="Arial"/>
                <w:color w:val="444444"/>
                <w:sz w:val="18"/>
                <w:szCs w:val="18"/>
              </w:rPr>
              <w:t xml:space="preserve">. </w:t>
            </w:r>
          </w:p>
        </w:tc>
      </w:tr>
    </w:tbl>
    <w:p w:rsidR="007C2DBB" w:rsidRPr="00561E2C" w:rsidRDefault="00561E2C" w:rsidP="00561E2C">
      <w:pPr>
        <w:jc w:val="center"/>
        <w:rPr>
          <w:sz w:val="28"/>
          <w:szCs w:val="28"/>
        </w:rPr>
      </w:pPr>
      <w:r w:rsidRPr="00561E2C">
        <w:rPr>
          <w:sz w:val="28"/>
          <w:szCs w:val="28"/>
        </w:rPr>
        <w:t>Ou</w:t>
      </w:r>
      <w:r>
        <w:rPr>
          <w:sz w:val="28"/>
          <w:szCs w:val="28"/>
        </w:rPr>
        <w:t>tcome Measure Tool – Definitions and What You Should Know</w:t>
      </w:r>
    </w:p>
    <w:p w:rsidR="00333358" w:rsidRDefault="00333358"/>
    <w:p w:rsidR="00561E2C" w:rsidRDefault="00561E2C"/>
    <w:p w:rsidR="00561E2C" w:rsidRDefault="00561E2C" w:rsidP="00561E2C">
      <w:pPr>
        <w:shd w:val="clear" w:color="auto" w:fill="FFFFFF"/>
        <w:spacing w:after="180" w:line="360" w:lineRule="atLeast"/>
        <w:outlineLvl w:val="2"/>
        <w:rPr>
          <w:rFonts w:ascii="Georgia" w:eastAsia="Times New Roman" w:hAnsi="Georgia" w:cs="Arial"/>
          <w:color w:val="003F72"/>
          <w:sz w:val="23"/>
          <w:szCs w:val="23"/>
        </w:rPr>
      </w:pPr>
    </w:p>
    <w:p w:rsidR="00561E2C" w:rsidRPr="00561E2C" w:rsidRDefault="00561E2C" w:rsidP="00561E2C">
      <w:pPr>
        <w:shd w:val="clear" w:color="auto" w:fill="FFFFFF"/>
        <w:spacing w:after="180" w:line="360" w:lineRule="atLeast"/>
        <w:outlineLvl w:val="2"/>
        <w:rPr>
          <w:rFonts w:ascii="Georgia" w:eastAsia="Times New Roman" w:hAnsi="Georgia" w:cs="Arial"/>
          <w:color w:val="003F72"/>
          <w:sz w:val="23"/>
          <w:szCs w:val="23"/>
        </w:rPr>
      </w:pPr>
      <w:r w:rsidRPr="00561E2C">
        <w:rPr>
          <w:rFonts w:ascii="Georgia" w:eastAsia="Times New Roman" w:hAnsi="Georgia" w:cs="Arial"/>
          <w:color w:val="003F72"/>
          <w:sz w:val="23"/>
          <w:szCs w:val="23"/>
        </w:rPr>
        <w:t>What You Should Know</w:t>
      </w:r>
    </w:p>
    <w:p w:rsidR="00561E2C" w:rsidRPr="00561E2C" w:rsidRDefault="00561E2C" w:rsidP="00561E2C">
      <w:pPr>
        <w:numPr>
          <w:ilvl w:val="0"/>
          <w:numId w:val="1"/>
        </w:numPr>
        <w:shd w:val="clear" w:color="auto" w:fill="FFFFFF"/>
        <w:spacing w:before="100" w:beforeAutospacing="1" w:after="100" w:afterAutospacing="1" w:line="360" w:lineRule="atLeast"/>
        <w:ind w:left="525"/>
        <w:rPr>
          <w:rFonts w:ascii="Arial" w:eastAsia="Times New Roman" w:hAnsi="Arial" w:cs="Arial"/>
          <w:color w:val="2E2E2E"/>
          <w:sz w:val="20"/>
          <w:szCs w:val="20"/>
        </w:rPr>
      </w:pPr>
      <w:r w:rsidRPr="00561E2C">
        <w:rPr>
          <w:rFonts w:ascii="Arial" w:eastAsia="Times New Roman" w:hAnsi="Arial" w:cs="Arial"/>
          <w:color w:val="2E2E2E"/>
          <w:sz w:val="20"/>
          <w:szCs w:val="20"/>
        </w:rPr>
        <w:t xml:space="preserve">The Outcome Measure Tool data is based on first-time Post-9/11 GI Bill Servicemembers/Veterans who have not used prior Education benefits. Enrollments at flight/correspondence facilities were not included. </w:t>
      </w:r>
    </w:p>
    <w:p w:rsidR="00561E2C" w:rsidRPr="00561E2C" w:rsidRDefault="00561E2C" w:rsidP="00561E2C">
      <w:pPr>
        <w:numPr>
          <w:ilvl w:val="0"/>
          <w:numId w:val="1"/>
        </w:numPr>
        <w:shd w:val="clear" w:color="auto" w:fill="FFFFFF"/>
        <w:spacing w:before="100" w:beforeAutospacing="1" w:after="100" w:afterAutospacing="1" w:line="360" w:lineRule="atLeast"/>
        <w:ind w:left="525"/>
        <w:rPr>
          <w:rFonts w:ascii="Arial" w:eastAsia="Times New Roman" w:hAnsi="Arial" w:cs="Arial"/>
          <w:color w:val="2E2E2E"/>
          <w:sz w:val="20"/>
          <w:szCs w:val="20"/>
        </w:rPr>
      </w:pPr>
      <w:r w:rsidRPr="00561E2C">
        <w:rPr>
          <w:rFonts w:ascii="Arial" w:eastAsia="Times New Roman" w:hAnsi="Arial" w:cs="Arial"/>
          <w:color w:val="2E2E2E"/>
          <w:sz w:val="20"/>
          <w:szCs w:val="20"/>
        </w:rPr>
        <w:t xml:space="preserve">Data consists of only Post-9/11 GI Bill enrollments beginning August 2009 through September 2015. </w:t>
      </w:r>
    </w:p>
    <w:p w:rsidR="00561E2C" w:rsidRPr="00561E2C" w:rsidRDefault="00561E2C" w:rsidP="00561E2C">
      <w:pPr>
        <w:numPr>
          <w:ilvl w:val="0"/>
          <w:numId w:val="1"/>
        </w:numPr>
        <w:shd w:val="clear" w:color="auto" w:fill="FFFFFF"/>
        <w:spacing w:before="100" w:beforeAutospacing="1" w:after="100" w:afterAutospacing="1" w:line="360" w:lineRule="atLeast"/>
        <w:ind w:left="525"/>
        <w:rPr>
          <w:rFonts w:ascii="Arial" w:eastAsia="Times New Roman" w:hAnsi="Arial" w:cs="Arial"/>
          <w:color w:val="2E2E2E"/>
          <w:sz w:val="20"/>
          <w:szCs w:val="20"/>
        </w:rPr>
      </w:pPr>
      <w:r w:rsidRPr="00561E2C">
        <w:rPr>
          <w:rFonts w:ascii="Arial" w:eastAsia="Times New Roman" w:hAnsi="Arial" w:cs="Arial"/>
          <w:color w:val="2E2E2E"/>
          <w:sz w:val="20"/>
          <w:szCs w:val="20"/>
        </w:rPr>
        <w:t>All metrics are reported by the school and academic year (AY). AY is defined as beginning on August 1 and ending July 31 of the next year.</w:t>
      </w:r>
    </w:p>
    <w:p w:rsidR="00561E2C" w:rsidRPr="00561E2C" w:rsidRDefault="00561E2C" w:rsidP="00561E2C">
      <w:pPr>
        <w:numPr>
          <w:ilvl w:val="0"/>
          <w:numId w:val="1"/>
        </w:numPr>
        <w:shd w:val="clear" w:color="auto" w:fill="FFFFFF"/>
        <w:spacing w:before="100" w:beforeAutospacing="1" w:after="100" w:afterAutospacing="1" w:line="360" w:lineRule="atLeast"/>
        <w:ind w:left="525"/>
        <w:rPr>
          <w:rFonts w:ascii="Arial" w:eastAsia="Times New Roman" w:hAnsi="Arial" w:cs="Arial"/>
          <w:color w:val="2E2E2E"/>
          <w:sz w:val="20"/>
          <w:szCs w:val="20"/>
        </w:rPr>
      </w:pPr>
      <w:r w:rsidRPr="00561E2C">
        <w:rPr>
          <w:rFonts w:ascii="Arial" w:eastAsia="Times New Roman" w:hAnsi="Arial" w:cs="Arial"/>
          <w:color w:val="2E2E2E"/>
          <w:sz w:val="20"/>
          <w:szCs w:val="20"/>
        </w:rPr>
        <w:lastRenderedPageBreak/>
        <w:t>The 2009 - 2010 academic year is shown as 2009 Cohort in the data, the 2010 - 2011 academic year as 2010 Cohort, etc.</w:t>
      </w:r>
    </w:p>
    <w:p w:rsidR="00561E2C" w:rsidRPr="00561E2C" w:rsidRDefault="00561E2C" w:rsidP="00561E2C">
      <w:pPr>
        <w:numPr>
          <w:ilvl w:val="0"/>
          <w:numId w:val="1"/>
        </w:numPr>
        <w:shd w:val="clear" w:color="auto" w:fill="FFFFFF"/>
        <w:spacing w:before="100" w:beforeAutospacing="1" w:after="100" w:afterAutospacing="1" w:line="360" w:lineRule="atLeast"/>
        <w:ind w:left="525"/>
        <w:rPr>
          <w:rFonts w:ascii="Arial" w:eastAsia="Times New Roman" w:hAnsi="Arial" w:cs="Arial"/>
          <w:color w:val="2E2E2E"/>
          <w:sz w:val="20"/>
          <w:szCs w:val="20"/>
        </w:rPr>
      </w:pPr>
      <w:r w:rsidRPr="00561E2C">
        <w:rPr>
          <w:rFonts w:ascii="Arial" w:eastAsia="Times New Roman" w:hAnsi="Arial" w:cs="Arial"/>
          <w:color w:val="2E2E2E"/>
          <w:sz w:val="20"/>
          <w:szCs w:val="20"/>
        </w:rPr>
        <w:t>For students with multiple Degree/Certificate records, the first reported Degree/Certificate is used to calculate metrics.</w:t>
      </w:r>
    </w:p>
    <w:p w:rsidR="00561E2C" w:rsidRPr="00561E2C" w:rsidRDefault="00561E2C" w:rsidP="00561E2C">
      <w:pPr>
        <w:numPr>
          <w:ilvl w:val="0"/>
          <w:numId w:val="1"/>
        </w:numPr>
        <w:shd w:val="clear" w:color="auto" w:fill="FFFFFF"/>
        <w:spacing w:before="100" w:beforeAutospacing="1" w:after="100" w:afterAutospacing="1" w:line="360" w:lineRule="atLeast"/>
        <w:ind w:left="525"/>
        <w:rPr>
          <w:rFonts w:ascii="Arial" w:eastAsia="Times New Roman" w:hAnsi="Arial" w:cs="Arial"/>
          <w:color w:val="2E2E2E"/>
          <w:sz w:val="20"/>
          <w:szCs w:val="20"/>
        </w:rPr>
      </w:pPr>
      <w:r w:rsidRPr="00561E2C">
        <w:rPr>
          <w:rFonts w:ascii="Arial" w:eastAsia="Times New Roman" w:hAnsi="Arial" w:cs="Arial"/>
          <w:color w:val="2E2E2E"/>
          <w:sz w:val="20"/>
          <w:szCs w:val="20"/>
        </w:rPr>
        <w:t>The Graduation Rate metrics for 4-year Institutions of Higher Learning (IHL) will not be published until 6-year, 150% (September 2016) and 8-year, 200% (September 2018) time frames are met.</w:t>
      </w:r>
    </w:p>
    <w:p w:rsidR="00561E2C" w:rsidRPr="00561E2C" w:rsidRDefault="00561E2C" w:rsidP="00561E2C">
      <w:pPr>
        <w:numPr>
          <w:ilvl w:val="0"/>
          <w:numId w:val="1"/>
        </w:numPr>
        <w:shd w:val="clear" w:color="auto" w:fill="FFFFFF"/>
        <w:spacing w:before="100" w:beforeAutospacing="1" w:after="100" w:afterAutospacing="1" w:line="360" w:lineRule="atLeast"/>
        <w:ind w:left="525"/>
        <w:rPr>
          <w:rFonts w:ascii="Arial" w:eastAsia="Times New Roman" w:hAnsi="Arial" w:cs="Arial"/>
          <w:color w:val="2E2E2E"/>
          <w:sz w:val="20"/>
          <w:szCs w:val="20"/>
        </w:rPr>
      </w:pPr>
      <w:r w:rsidRPr="00561E2C">
        <w:rPr>
          <w:rFonts w:ascii="Arial" w:eastAsia="Times New Roman" w:hAnsi="Arial" w:cs="Arial"/>
          <w:color w:val="2E2E2E"/>
          <w:sz w:val="20"/>
          <w:szCs w:val="20"/>
        </w:rPr>
        <w:t>Transfer-Out Rate only applies to 2-year IHL schools.</w:t>
      </w:r>
    </w:p>
    <w:p w:rsidR="00561E2C" w:rsidRPr="00561E2C" w:rsidRDefault="00561E2C" w:rsidP="00561E2C">
      <w:pPr>
        <w:numPr>
          <w:ilvl w:val="0"/>
          <w:numId w:val="1"/>
        </w:numPr>
        <w:shd w:val="clear" w:color="auto" w:fill="FFFFFF"/>
        <w:spacing w:before="100" w:beforeAutospacing="1" w:after="100" w:afterAutospacing="1" w:line="360" w:lineRule="atLeast"/>
        <w:ind w:left="525"/>
        <w:rPr>
          <w:rFonts w:ascii="Arial" w:eastAsia="Times New Roman" w:hAnsi="Arial" w:cs="Arial"/>
          <w:color w:val="2E2E2E"/>
          <w:sz w:val="20"/>
          <w:szCs w:val="20"/>
        </w:rPr>
      </w:pPr>
      <w:r w:rsidRPr="00561E2C">
        <w:rPr>
          <w:rFonts w:ascii="Arial" w:eastAsia="Times New Roman" w:hAnsi="Arial" w:cs="Arial"/>
          <w:color w:val="2E2E2E"/>
          <w:sz w:val="20"/>
          <w:szCs w:val="20"/>
        </w:rPr>
        <w:t>The data will be updated annually in September.</w:t>
      </w:r>
    </w:p>
    <w:p w:rsidR="00561E2C" w:rsidRPr="00561E2C" w:rsidRDefault="00561E2C" w:rsidP="00561E2C">
      <w:pPr>
        <w:numPr>
          <w:ilvl w:val="0"/>
          <w:numId w:val="1"/>
        </w:numPr>
        <w:shd w:val="clear" w:color="auto" w:fill="FFFFFF"/>
        <w:spacing w:before="100" w:beforeAutospacing="1" w:after="100" w:afterAutospacing="1" w:line="360" w:lineRule="atLeast"/>
        <w:ind w:left="525"/>
        <w:rPr>
          <w:rFonts w:ascii="Arial" w:eastAsia="Times New Roman" w:hAnsi="Arial" w:cs="Arial"/>
          <w:color w:val="2E2E2E"/>
          <w:sz w:val="20"/>
          <w:szCs w:val="20"/>
        </w:rPr>
      </w:pPr>
      <w:r w:rsidRPr="00561E2C">
        <w:rPr>
          <w:rFonts w:ascii="Arial" w:eastAsia="Times New Roman" w:hAnsi="Arial" w:cs="Arial"/>
          <w:color w:val="2E2E2E"/>
          <w:sz w:val="20"/>
          <w:szCs w:val="20"/>
        </w:rPr>
        <w:t>“No Data” will display when no students were identified that met the established data collection rules within that year.</w:t>
      </w:r>
    </w:p>
    <w:p w:rsidR="00561E2C" w:rsidRDefault="00561E2C"/>
    <w:sectPr w:rsidR="00561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65F5C"/>
    <w:multiLevelType w:val="multilevel"/>
    <w:tmpl w:val="2690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E2C"/>
    <w:rsid w:val="00333358"/>
    <w:rsid w:val="00561E2C"/>
    <w:rsid w:val="007C2DBB"/>
    <w:rsid w:val="00B9544C"/>
    <w:rsid w:val="00C81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287462">
      <w:bodyDiv w:val="1"/>
      <w:marLeft w:val="0"/>
      <w:marRight w:val="0"/>
      <w:marTop w:val="0"/>
      <w:marBottom w:val="0"/>
      <w:divBdr>
        <w:top w:val="none" w:sz="0" w:space="0" w:color="auto"/>
        <w:left w:val="none" w:sz="0" w:space="0" w:color="auto"/>
        <w:bottom w:val="none" w:sz="0" w:space="0" w:color="auto"/>
        <w:right w:val="none" w:sz="0" w:space="0" w:color="auto"/>
      </w:divBdr>
    </w:div>
    <w:div w:id="753471919">
      <w:bodyDiv w:val="1"/>
      <w:marLeft w:val="0"/>
      <w:marRight w:val="0"/>
      <w:marTop w:val="0"/>
      <w:marBottom w:val="0"/>
      <w:divBdr>
        <w:top w:val="none" w:sz="0" w:space="0" w:color="auto"/>
        <w:left w:val="none" w:sz="0" w:space="0" w:color="auto"/>
        <w:bottom w:val="none" w:sz="0" w:space="0" w:color="auto"/>
        <w:right w:val="none" w:sz="0" w:space="0" w:color="auto"/>
      </w:divBdr>
      <w:divsChild>
        <w:div w:id="2051147307">
          <w:marLeft w:val="0"/>
          <w:marRight w:val="0"/>
          <w:marTop w:val="0"/>
          <w:marBottom w:val="0"/>
          <w:divBdr>
            <w:top w:val="none" w:sz="0" w:space="0" w:color="auto"/>
            <w:left w:val="none" w:sz="0" w:space="0" w:color="auto"/>
            <w:bottom w:val="none" w:sz="0" w:space="0" w:color="auto"/>
            <w:right w:val="none" w:sz="0" w:space="0" w:color="auto"/>
          </w:divBdr>
          <w:divsChild>
            <w:div w:id="267855768">
              <w:marLeft w:val="0"/>
              <w:marRight w:val="0"/>
              <w:marTop w:val="0"/>
              <w:marBottom w:val="0"/>
              <w:divBdr>
                <w:top w:val="none" w:sz="0" w:space="0" w:color="auto"/>
                <w:left w:val="none" w:sz="0" w:space="0" w:color="auto"/>
                <w:bottom w:val="none" w:sz="0" w:space="0" w:color="auto"/>
                <w:right w:val="none" w:sz="0" w:space="0" w:color="auto"/>
              </w:divBdr>
              <w:divsChild>
                <w:div w:id="165752068">
                  <w:marLeft w:val="0"/>
                  <w:marRight w:val="0"/>
                  <w:marTop w:val="100"/>
                  <w:marBottom w:val="100"/>
                  <w:divBdr>
                    <w:top w:val="none" w:sz="0" w:space="0" w:color="auto"/>
                    <w:left w:val="none" w:sz="0" w:space="0" w:color="auto"/>
                    <w:bottom w:val="none" w:sz="0" w:space="0" w:color="auto"/>
                    <w:right w:val="none" w:sz="0" w:space="0" w:color="auto"/>
                  </w:divBdr>
                  <w:divsChild>
                    <w:div w:id="1981809828">
                      <w:marLeft w:val="0"/>
                      <w:marRight w:val="0"/>
                      <w:marTop w:val="100"/>
                      <w:marBottom w:val="100"/>
                      <w:divBdr>
                        <w:top w:val="none" w:sz="0" w:space="0" w:color="auto"/>
                        <w:left w:val="none" w:sz="0" w:space="0" w:color="auto"/>
                        <w:bottom w:val="none" w:sz="0" w:space="0" w:color="auto"/>
                        <w:right w:val="none" w:sz="0" w:space="0" w:color="auto"/>
                      </w:divBdr>
                      <w:divsChild>
                        <w:div w:id="939676788">
                          <w:marLeft w:val="0"/>
                          <w:marRight w:val="0"/>
                          <w:marTop w:val="0"/>
                          <w:marBottom w:val="0"/>
                          <w:divBdr>
                            <w:top w:val="none" w:sz="0" w:space="0" w:color="auto"/>
                            <w:left w:val="none" w:sz="0" w:space="0" w:color="auto"/>
                            <w:bottom w:val="none" w:sz="0" w:space="0" w:color="auto"/>
                            <w:right w:val="none" w:sz="0" w:space="0" w:color="auto"/>
                          </w:divBdr>
                          <w:divsChild>
                            <w:div w:id="47903182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046499">
      <w:bodyDiv w:val="1"/>
      <w:marLeft w:val="0"/>
      <w:marRight w:val="0"/>
      <w:marTop w:val="0"/>
      <w:marBottom w:val="0"/>
      <w:divBdr>
        <w:top w:val="none" w:sz="0" w:space="0" w:color="auto"/>
        <w:left w:val="none" w:sz="0" w:space="0" w:color="auto"/>
        <w:bottom w:val="none" w:sz="0" w:space="0" w:color="auto"/>
        <w:right w:val="none" w:sz="0" w:space="0" w:color="auto"/>
      </w:divBdr>
      <w:divsChild>
        <w:div w:id="1301577351">
          <w:marLeft w:val="0"/>
          <w:marRight w:val="0"/>
          <w:marTop w:val="0"/>
          <w:marBottom w:val="0"/>
          <w:divBdr>
            <w:top w:val="none" w:sz="0" w:space="0" w:color="auto"/>
            <w:left w:val="none" w:sz="0" w:space="0" w:color="auto"/>
            <w:bottom w:val="none" w:sz="0" w:space="0" w:color="auto"/>
            <w:right w:val="none" w:sz="0" w:space="0" w:color="auto"/>
          </w:divBdr>
          <w:divsChild>
            <w:div w:id="1185942074">
              <w:marLeft w:val="0"/>
              <w:marRight w:val="0"/>
              <w:marTop w:val="0"/>
              <w:marBottom w:val="0"/>
              <w:divBdr>
                <w:top w:val="none" w:sz="0" w:space="0" w:color="auto"/>
                <w:left w:val="none" w:sz="0" w:space="0" w:color="auto"/>
                <w:bottom w:val="none" w:sz="0" w:space="0" w:color="auto"/>
                <w:right w:val="none" w:sz="0" w:space="0" w:color="auto"/>
              </w:divBdr>
              <w:divsChild>
                <w:div w:id="38282151">
                  <w:marLeft w:val="0"/>
                  <w:marRight w:val="0"/>
                  <w:marTop w:val="100"/>
                  <w:marBottom w:val="100"/>
                  <w:divBdr>
                    <w:top w:val="none" w:sz="0" w:space="0" w:color="auto"/>
                    <w:left w:val="none" w:sz="0" w:space="0" w:color="auto"/>
                    <w:bottom w:val="none" w:sz="0" w:space="0" w:color="auto"/>
                    <w:right w:val="none" w:sz="0" w:space="0" w:color="auto"/>
                  </w:divBdr>
                  <w:divsChild>
                    <w:div w:id="441144052">
                      <w:marLeft w:val="0"/>
                      <w:marRight w:val="0"/>
                      <w:marTop w:val="100"/>
                      <w:marBottom w:val="100"/>
                      <w:divBdr>
                        <w:top w:val="none" w:sz="0" w:space="0" w:color="auto"/>
                        <w:left w:val="none" w:sz="0" w:space="0" w:color="auto"/>
                        <w:bottom w:val="none" w:sz="0" w:space="0" w:color="auto"/>
                        <w:right w:val="none" w:sz="0" w:space="0" w:color="auto"/>
                      </w:divBdr>
                      <w:divsChild>
                        <w:div w:id="2083139748">
                          <w:marLeft w:val="0"/>
                          <w:marRight w:val="0"/>
                          <w:marTop w:val="0"/>
                          <w:marBottom w:val="0"/>
                          <w:divBdr>
                            <w:top w:val="none" w:sz="0" w:space="0" w:color="auto"/>
                            <w:left w:val="none" w:sz="0" w:space="0" w:color="auto"/>
                            <w:bottom w:val="none" w:sz="0" w:space="0" w:color="auto"/>
                            <w:right w:val="none" w:sz="0" w:space="0" w:color="auto"/>
                          </w:divBdr>
                          <w:divsChild>
                            <w:div w:id="18278736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68E14-DCEB-F940-820F-5CFB08656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2030</Characters>
  <Application>Microsoft Macintosh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Cohen, Danita, VBAVACO</dc:creator>
  <cp:lastModifiedBy>Department of Veterans Affairs</cp:lastModifiedBy>
  <cp:revision>2</cp:revision>
  <dcterms:created xsi:type="dcterms:W3CDTF">2015-10-22T21:04:00Z</dcterms:created>
  <dcterms:modified xsi:type="dcterms:W3CDTF">2015-10-22T21:04:00Z</dcterms:modified>
</cp:coreProperties>
</file>