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2A" w:rsidRDefault="00574D17" w:rsidP="00167450">
      <w:pPr>
        <w:spacing w:after="195" w:line="240" w:lineRule="auto"/>
        <w:outlineLvl w:val="1"/>
        <w:rPr>
          <w:rFonts w:ascii="Arial Narrow" w:eastAsia="Times New Roman" w:hAnsi="Arial Narrow" w:cs="Arial"/>
          <w:b/>
          <w:bCs/>
          <w:color w:val="606068"/>
          <w:sz w:val="41"/>
          <w:szCs w:val="41"/>
        </w:rPr>
      </w:pPr>
      <w:r>
        <w:rPr>
          <w:rFonts w:ascii="Arial Narrow" w:eastAsia="Times New Roman" w:hAnsi="Arial Narrow" w:cs="Arial"/>
          <w:b/>
          <w:bCs/>
          <w:color w:val="606068"/>
          <w:sz w:val="41"/>
          <w:szCs w:val="41"/>
        </w:rPr>
        <w:t xml:space="preserve">Impact of </w:t>
      </w:r>
      <w:r w:rsidR="000F222A" w:rsidRPr="000F222A">
        <w:rPr>
          <w:rFonts w:ascii="Arial Narrow" w:eastAsia="Times New Roman" w:hAnsi="Arial Narrow" w:cs="Arial"/>
          <w:b/>
          <w:bCs/>
          <w:color w:val="606068"/>
          <w:sz w:val="41"/>
          <w:szCs w:val="41"/>
        </w:rPr>
        <w:t>lapse in appropriations on VA services</w:t>
      </w:r>
      <w:r>
        <w:rPr>
          <w:rFonts w:ascii="Arial Narrow" w:eastAsia="Times New Roman" w:hAnsi="Arial Narrow" w:cs="Arial"/>
          <w:b/>
          <w:bCs/>
          <w:color w:val="606068"/>
          <w:sz w:val="41"/>
          <w:szCs w:val="41"/>
        </w:rPr>
        <w:t xml:space="preserve"> – February 2018</w:t>
      </w:r>
    </w:p>
    <w:p w:rsidR="00574D17" w:rsidRDefault="00574D17" w:rsidP="00574D17">
      <w:pPr>
        <w:pStyle w:val="NormalWeb"/>
        <w:rPr>
          <w:rFonts w:ascii="Helvetica" w:hAnsi="Helvetica" w:cs="Helvetica"/>
          <w:color w:val="606068"/>
          <w:sz w:val="20"/>
          <w:szCs w:val="20"/>
        </w:rPr>
      </w:pPr>
      <w:r>
        <w:rPr>
          <w:rFonts w:ascii="Helvetica" w:hAnsi="Helvetica" w:cs="Helvetica"/>
          <w:color w:val="606068"/>
          <w:sz w:val="20"/>
          <w:szCs w:val="20"/>
        </w:rPr>
        <w:t>Much of VA, including the Veterans Health Administration, received advance appropriations for fiscal year 2018 as part of the 2017 budget. As a result, Veterans health services are operating fully.</w:t>
      </w:r>
    </w:p>
    <w:p w:rsidR="00574D17" w:rsidRDefault="00574D17" w:rsidP="00574D17">
      <w:pPr>
        <w:pStyle w:val="NormalWeb"/>
        <w:rPr>
          <w:rFonts w:ascii="Helvetica" w:hAnsi="Helvetica" w:cs="Helvetica"/>
          <w:color w:val="606068"/>
          <w:sz w:val="20"/>
          <w:szCs w:val="20"/>
        </w:rPr>
      </w:pPr>
      <w:r>
        <w:rPr>
          <w:rFonts w:ascii="Helvetica" w:hAnsi="Helvetica" w:cs="Helvetica"/>
          <w:color w:val="606068"/>
          <w:sz w:val="20"/>
          <w:szCs w:val="20"/>
        </w:rPr>
        <w:t>Across VA, 95.5 percent of the department’s employ</w:t>
      </w:r>
      <w:r w:rsidR="00E323E2">
        <w:rPr>
          <w:rFonts w:ascii="Helvetica" w:hAnsi="Helvetica" w:cs="Helvetica"/>
          <w:color w:val="606068"/>
          <w:sz w:val="20"/>
          <w:szCs w:val="20"/>
        </w:rPr>
        <w:t>ees will come to work as normal</w:t>
      </w:r>
      <w:r>
        <w:rPr>
          <w:rFonts w:ascii="Helvetica" w:hAnsi="Helvetica" w:cs="Helvetica"/>
          <w:color w:val="606068"/>
          <w:sz w:val="20"/>
          <w:szCs w:val="20"/>
        </w:rPr>
        <w:t xml:space="preserve"> and most aspects of VA’s operations will not be impacted. This figure combines the funded VHA staff and those employees legally </w:t>
      </w:r>
      <w:proofErr w:type="gramStart"/>
      <w:r>
        <w:rPr>
          <w:rFonts w:ascii="Helvetica" w:hAnsi="Helvetica" w:cs="Helvetica"/>
          <w:color w:val="606068"/>
          <w:sz w:val="20"/>
          <w:szCs w:val="20"/>
        </w:rPr>
        <w:t>excepted</w:t>
      </w:r>
      <w:proofErr w:type="gramEnd"/>
      <w:r>
        <w:rPr>
          <w:rFonts w:ascii="Helvetica" w:hAnsi="Helvetica" w:cs="Helvetica"/>
          <w:color w:val="606068"/>
          <w:sz w:val="20"/>
          <w:szCs w:val="20"/>
        </w:rPr>
        <w:t xml:space="preserve"> from shutdown under VA’s shutdown plan, </w:t>
      </w:r>
      <w:hyperlink r:id="rId6" w:history="1">
        <w:r>
          <w:rPr>
            <w:rStyle w:val="Hyperlink"/>
            <w:rFonts w:ascii="Helvetica" w:hAnsi="Helvetica" w:cs="Helvetica"/>
            <w:sz w:val="20"/>
            <w:szCs w:val="20"/>
          </w:rPr>
          <w:t>found here</w:t>
        </w:r>
      </w:hyperlink>
      <w:r>
        <w:rPr>
          <w:rFonts w:ascii="Helvetica" w:hAnsi="Helvetica" w:cs="Helvetica"/>
          <w:color w:val="606068"/>
          <w:sz w:val="20"/>
          <w:szCs w:val="20"/>
        </w:rPr>
        <w:t>.</w:t>
      </w:r>
    </w:p>
    <w:p w:rsidR="000F222A" w:rsidRPr="00574D17" w:rsidRDefault="00574D17" w:rsidP="00574D17">
      <w:pPr>
        <w:pStyle w:val="NormalWeb"/>
        <w:rPr>
          <w:rFonts w:ascii="Helvetica" w:hAnsi="Helvetica" w:cs="Helvetica"/>
          <w:color w:val="606068"/>
          <w:sz w:val="20"/>
          <w:szCs w:val="20"/>
        </w:rPr>
      </w:pPr>
      <w:r>
        <w:rPr>
          <w:rFonts w:ascii="Helvetica" w:hAnsi="Helvetica" w:cs="Helvetica"/>
          <w:color w:val="606068"/>
          <w:sz w:val="20"/>
          <w:szCs w:val="20"/>
        </w:rPr>
        <w:t xml:space="preserve">Below is a summary of services that are not impacted by a lapse in appropriations as well as those that may be impacted in the event of a prolonged shutdown. </w:t>
      </w:r>
    </w:p>
    <w:p w:rsidR="00167450" w:rsidRPr="00167450" w:rsidRDefault="00167450" w:rsidP="00167450">
      <w:pPr>
        <w:spacing w:after="195" w:line="240" w:lineRule="auto"/>
        <w:outlineLvl w:val="1"/>
        <w:rPr>
          <w:rFonts w:ascii="Arial Narrow" w:eastAsia="Times New Roman" w:hAnsi="Arial Narrow" w:cs="Arial"/>
          <w:b/>
          <w:bCs/>
          <w:color w:val="606068"/>
          <w:sz w:val="41"/>
          <w:szCs w:val="41"/>
        </w:rPr>
      </w:pPr>
      <w:r w:rsidRPr="00167450">
        <w:rPr>
          <w:rFonts w:ascii="Arial Narrow" w:eastAsia="Times New Roman" w:hAnsi="Arial Narrow" w:cs="Arial"/>
          <w:b/>
          <w:bCs/>
          <w:color w:val="606068"/>
          <w:sz w:val="41"/>
          <w:szCs w:val="41"/>
        </w:rPr>
        <w:t>Services to Veterans not impacted by a lapse in appropriations</w:t>
      </w:r>
    </w:p>
    <w:p w:rsidR="00574D17" w:rsidRDefault="003D5F4C" w:rsidP="00167450">
      <w:pPr>
        <w:spacing w:after="225" w:line="240" w:lineRule="auto"/>
        <w:rPr>
          <w:rFonts w:ascii="Helvetica" w:hAnsi="Helvetica" w:cs="Arial"/>
          <w:color w:val="606068"/>
          <w:sz w:val="20"/>
          <w:szCs w:val="20"/>
        </w:rPr>
      </w:pPr>
      <w:r>
        <w:rPr>
          <w:rFonts w:ascii="Helvetica" w:hAnsi="Helvetica" w:cs="Arial"/>
          <w:color w:val="606068"/>
          <w:sz w:val="20"/>
          <w:szCs w:val="20"/>
        </w:rPr>
        <w:t xml:space="preserve">Due to advance appropriations, </w:t>
      </w:r>
      <w:r w:rsidR="00E323E2">
        <w:rPr>
          <w:rFonts w:ascii="Helvetica" w:hAnsi="Helvetica" w:cs="Arial"/>
          <w:color w:val="606068"/>
          <w:sz w:val="20"/>
          <w:szCs w:val="20"/>
        </w:rPr>
        <w:t>more than 95</w:t>
      </w:r>
      <w:r>
        <w:rPr>
          <w:rFonts w:ascii="Helvetica" w:hAnsi="Helvetica" w:cs="Arial"/>
          <w:color w:val="606068"/>
          <w:sz w:val="20"/>
          <w:szCs w:val="20"/>
        </w:rPr>
        <w:t xml:space="preserve"> percent of VA employees will come to work as normal and most aspects of VA’s opera</w:t>
      </w:r>
      <w:r w:rsidR="002B37DA">
        <w:rPr>
          <w:rFonts w:ascii="Helvetica" w:hAnsi="Helvetica" w:cs="Arial"/>
          <w:color w:val="606068"/>
          <w:sz w:val="20"/>
          <w:szCs w:val="20"/>
        </w:rPr>
        <w:t xml:space="preserve">tions will not be impacted. </w:t>
      </w:r>
    </w:p>
    <w:p w:rsidR="00167450" w:rsidRPr="00167450" w:rsidRDefault="00167450" w:rsidP="00167450">
      <w:pPr>
        <w:spacing w:after="225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b/>
          <w:bCs/>
          <w:color w:val="606068"/>
          <w:sz w:val="20"/>
          <w:szCs w:val="20"/>
        </w:rPr>
        <w:t>All VA medical facilities and clinics will remain fully operational, including: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Inpatient Care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Outpatient Care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Prescriptions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Surgeries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Dental Treatment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Extended Care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Mental Health Care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Nursing Home Care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Special Health Care Services for Women Veterans</w:t>
      </w:r>
    </w:p>
    <w:p w:rsidR="00167450" w:rsidRPr="00167450" w:rsidRDefault="00167450" w:rsidP="000F2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Vet Centers</w:t>
      </w:r>
    </w:p>
    <w:p w:rsidR="00167450" w:rsidRPr="00167450" w:rsidRDefault="00167450" w:rsidP="00167450">
      <w:pPr>
        <w:spacing w:after="225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Also operational:</w:t>
      </w:r>
    </w:p>
    <w:p w:rsidR="002B37DA" w:rsidRPr="00167450" w:rsidRDefault="002B37DA" w:rsidP="002B3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Veterans Crisis Line</w:t>
      </w:r>
    </w:p>
    <w:p w:rsidR="00164B89" w:rsidRPr="00167450" w:rsidRDefault="00164B89" w:rsidP="00164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>White House VA Hotline</w:t>
      </w:r>
    </w:p>
    <w:p w:rsidR="00167450" w:rsidRPr="00167450" w:rsidRDefault="00167450" w:rsidP="00167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Military Sexual Trauma Counseling</w:t>
      </w:r>
    </w:p>
    <w:p w:rsidR="002B37DA" w:rsidRPr="00167450" w:rsidRDefault="000F222A" w:rsidP="002B3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 xml:space="preserve">My </w:t>
      </w:r>
      <w:proofErr w:type="spellStart"/>
      <w:r>
        <w:rPr>
          <w:rFonts w:ascii="Helvetica" w:eastAsia="Times New Roman" w:hAnsi="Helvetica" w:cs="Arial"/>
          <w:color w:val="606068"/>
          <w:sz w:val="20"/>
          <w:szCs w:val="20"/>
        </w:rPr>
        <w:t>HealtheVet</w:t>
      </w:r>
      <w:proofErr w:type="spellEnd"/>
      <w:r>
        <w:rPr>
          <w:rFonts w:ascii="Helvetica" w:eastAsia="Times New Roman" w:hAnsi="Helvetica" w:cs="Arial"/>
          <w:color w:val="606068"/>
          <w:sz w:val="20"/>
          <w:szCs w:val="20"/>
        </w:rPr>
        <w:t xml:space="preserve"> – all s</w:t>
      </w:r>
      <w:r w:rsidR="002B37DA" w:rsidRPr="00167450">
        <w:rPr>
          <w:rFonts w:ascii="Helvetica" w:eastAsia="Times New Roman" w:hAnsi="Helvetica" w:cs="Arial"/>
          <w:color w:val="606068"/>
          <w:sz w:val="20"/>
          <w:szCs w:val="20"/>
        </w:rPr>
        <w:t>ervices</w:t>
      </w:r>
    </w:p>
    <w:p w:rsidR="00164B89" w:rsidRPr="00167450" w:rsidRDefault="00164B89" w:rsidP="00164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Acquisitions Logistics Center will accept and fill prosthetics supply orders</w:t>
      </w:r>
    </w:p>
    <w:p w:rsidR="00164B89" w:rsidRDefault="000F222A" w:rsidP="002B3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>Benefits c</w:t>
      </w:r>
      <w:r w:rsidR="002B37DA" w:rsidRPr="003D5F4C">
        <w:rPr>
          <w:rFonts w:ascii="Helvetica" w:eastAsia="Times New Roman" w:hAnsi="Helvetica" w:cs="Arial"/>
          <w:color w:val="606068"/>
          <w:sz w:val="20"/>
          <w:szCs w:val="20"/>
        </w:rPr>
        <w:t>laims processing and payments in the c</w:t>
      </w:r>
      <w:r>
        <w:rPr>
          <w:rFonts w:ascii="Helvetica" w:eastAsia="Times New Roman" w:hAnsi="Helvetica" w:cs="Arial"/>
          <w:color w:val="606068"/>
          <w:sz w:val="20"/>
          <w:szCs w:val="20"/>
        </w:rPr>
        <w:t>ompensation, pension, education</w:t>
      </w:r>
      <w:r w:rsidR="002B37DA" w:rsidRPr="003D5F4C">
        <w:rPr>
          <w:rFonts w:ascii="Helvetica" w:eastAsia="Times New Roman" w:hAnsi="Helvetica" w:cs="Arial"/>
          <w:color w:val="606068"/>
          <w:sz w:val="20"/>
          <w:szCs w:val="20"/>
        </w:rPr>
        <w:t xml:space="preserve"> and vocational rehabilitation programs will </w:t>
      </w:r>
      <w:r w:rsidR="002B37DA">
        <w:rPr>
          <w:rFonts w:ascii="Helvetica" w:eastAsia="Times New Roman" w:hAnsi="Helvetica" w:cs="Arial"/>
          <w:color w:val="606068"/>
          <w:sz w:val="20"/>
          <w:szCs w:val="20"/>
        </w:rPr>
        <w:t>continue.</w:t>
      </w:r>
      <w:r w:rsidR="00164B89">
        <w:rPr>
          <w:rFonts w:ascii="Helvetica" w:eastAsia="Times New Roman" w:hAnsi="Helvetica" w:cs="Arial"/>
          <w:color w:val="606068"/>
          <w:sz w:val="20"/>
          <w:szCs w:val="20"/>
        </w:rPr>
        <w:t xml:space="preserve"> </w:t>
      </w:r>
    </w:p>
    <w:p w:rsidR="00164B89" w:rsidRDefault="00164B89" w:rsidP="00164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VBA Call Centers will be operational except for education</w:t>
      </w:r>
      <w:r>
        <w:rPr>
          <w:rFonts w:ascii="Helvetica" w:eastAsia="Times New Roman" w:hAnsi="Helvetica" w:cs="Arial"/>
          <w:color w:val="606068"/>
          <w:sz w:val="20"/>
          <w:szCs w:val="20"/>
        </w:rPr>
        <w:t>.</w:t>
      </w:r>
    </w:p>
    <w:p w:rsidR="002B37DA" w:rsidRDefault="00164B89" w:rsidP="002B3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 xml:space="preserve">The Board of Veterans Appeals and </w:t>
      </w:r>
      <w:proofErr w:type="gramStart"/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VBA’s</w:t>
      </w:r>
      <w:proofErr w:type="gramEnd"/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 xml:space="preserve"> process</w:t>
      </w:r>
      <w:r>
        <w:rPr>
          <w:rFonts w:ascii="Helvetica" w:eastAsia="Times New Roman" w:hAnsi="Helvetica" w:cs="Arial"/>
          <w:color w:val="606068"/>
          <w:sz w:val="20"/>
          <w:szCs w:val="20"/>
        </w:rPr>
        <w:t>ing of appeals and remands will continue as long as funds remain available.</w:t>
      </w:r>
    </w:p>
    <w:p w:rsidR="00167450" w:rsidRPr="00167450" w:rsidRDefault="000F222A" w:rsidP="00167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 xml:space="preserve">Interments </w:t>
      </w:r>
      <w:r w:rsidR="00167450" w:rsidRPr="00167450">
        <w:rPr>
          <w:rFonts w:ascii="Helvetica" w:eastAsia="Times New Roman" w:hAnsi="Helvetica" w:cs="Arial"/>
          <w:color w:val="606068"/>
          <w:sz w:val="20"/>
          <w:szCs w:val="20"/>
        </w:rPr>
        <w:t xml:space="preserve">in National Cemeteries will continue, but may be </w:t>
      </w:r>
      <w:r w:rsidR="002B37DA">
        <w:rPr>
          <w:rFonts w:ascii="Helvetica" w:eastAsia="Times New Roman" w:hAnsi="Helvetica" w:cs="Arial"/>
          <w:color w:val="606068"/>
          <w:sz w:val="20"/>
          <w:szCs w:val="20"/>
        </w:rPr>
        <w:t>on a reduced schedule. Contact the National Cemetery Administration</w:t>
      </w:r>
      <w:r w:rsidR="00167450" w:rsidRPr="00167450">
        <w:rPr>
          <w:rFonts w:ascii="Helvetica" w:eastAsia="Times New Roman" w:hAnsi="Helvetica" w:cs="Arial"/>
          <w:color w:val="606068"/>
          <w:sz w:val="20"/>
          <w:szCs w:val="20"/>
        </w:rPr>
        <w:t>’s</w:t>
      </w:r>
      <w:r w:rsidR="002B37DA">
        <w:rPr>
          <w:rFonts w:ascii="Helvetica" w:eastAsia="Times New Roman" w:hAnsi="Helvetica" w:cs="Arial"/>
          <w:color w:val="606068"/>
          <w:sz w:val="20"/>
          <w:szCs w:val="20"/>
        </w:rPr>
        <w:t xml:space="preserve"> (NCA) scheduling o</w:t>
      </w:r>
      <w:r w:rsidR="00167450" w:rsidRPr="00167450">
        <w:rPr>
          <w:rFonts w:ascii="Helvetica" w:eastAsia="Times New Roman" w:hAnsi="Helvetica" w:cs="Arial"/>
          <w:color w:val="606068"/>
          <w:sz w:val="20"/>
          <w:szCs w:val="20"/>
        </w:rPr>
        <w:t>ffice at 1-800-535-1117</w:t>
      </w:r>
    </w:p>
    <w:p w:rsidR="002B37DA" w:rsidRPr="000F222A" w:rsidRDefault="00167450" w:rsidP="000F2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NCA will process applications for headstones, markers, medallions</w:t>
      </w:r>
      <w:r w:rsidR="000F222A">
        <w:rPr>
          <w:rFonts w:ascii="Helvetica" w:eastAsia="Times New Roman" w:hAnsi="Helvetica" w:cs="Arial"/>
          <w:color w:val="606068"/>
          <w:sz w:val="20"/>
          <w:szCs w:val="20"/>
        </w:rPr>
        <w:t xml:space="preserve"> and </w:t>
      </w:r>
      <w:r w:rsidR="002B37DA" w:rsidRPr="000F222A">
        <w:rPr>
          <w:rFonts w:ascii="Helvetica" w:eastAsia="Times New Roman" w:hAnsi="Helvetica" w:cs="Arial"/>
          <w:color w:val="606068"/>
          <w:sz w:val="20"/>
          <w:szCs w:val="20"/>
        </w:rPr>
        <w:t>will notify VBA of death for benefit actions</w:t>
      </w:r>
    </w:p>
    <w:p w:rsidR="00167450" w:rsidRPr="00167450" w:rsidRDefault="000F222A" w:rsidP="00167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>Insurance p</w:t>
      </w:r>
      <w:r w:rsidR="00167450" w:rsidRPr="00167450">
        <w:rPr>
          <w:rFonts w:ascii="Helvetica" w:eastAsia="Times New Roman" w:hAnsi="Helvetica" w:cs="Arial"/>
          <w:color w:val="606068"/>
          <w:sz w:val="20"/>
          <w:szCs w:val="20"/>
        </w:rPr>
        <w:t>rocessing</w:t>
      </w:r>
    </w:p>
    <w:p w:rsidR="00167450" w:rsidRPr="00167450" w:rsidRDefault="000F222A" w:rsidP="00167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>Home Loan p</w:t>
      </w:r>
      <w:r w:rsidR="00167450" w:rsidRPr="00167450">
        <w:rPr>
          <w:rFonts w:ascii="Helvetica" w:eastAsia="Times New Roman" w:hAnsi="Helvetica" w:cs="Arial"/>
          <w:color w:val="606068"/>
          <w:sz w:val="20"/>
          <w:szCs w:val="20"/>
        </w:rPr>
        <w:t>rocessing</w:t>
      </w:r>
    </w:p>
    <w:p w:rsidR="00164B89" w:rsidRDefault="00167450" w:rsidP="00574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lastRenderedPageBreak/>
        <w:t>Office of Small and Disadvantaged Small Businesses</w:t>
      </w:r>
    </w:p>
    <w:p w:rsidR="00167450" w:rsidRPr="00167450" w:rsidRDefault="00167450" w:rsidP="00167450">
      <w:pPr>
        <w:spacing w:after="195" w:line="240" w:lineRule="auto"/>
        <w:outlineLvl w:val="1"/>
        <w:rPr>
          <w:rFonts w:ascii="Arial Narrow" w:eastAsia="Times New Roman" w:hAnsi="Arial Narrow" w:cs="Arial"/>
          <w:b/>
          <w:bCs/>
          <w:color w:val="606068"/>
          <w:sz w:val="41"/>
          <w:szCs w:val="41"/>
        </w:rPr>
      </w:pPr>
      <w:r w:rsidRPr="00167450">
        <w:rPr>
          <w:rFonts w:ascii="Arial Narrow" w:eastAsia="Times New Roman" w:hAnsi="Arial Narrow" w:cs="Arial"/>
          <w:b/>
          <w:bCs/>
          <w:color w:val="606068"/>
          <w:sz w:val="41"/>
          <w:szCs w:val="41"/>
        </w:rPr>
        <w:t>Services to Veterans impacted by a lapse in appropriations</w:t>
      </w:r>
    </w:p>
    <w:p w:rsidR="003D5F4C" w:rsidRDefault="000F222A" w:rsidP="00167450">
      <w:pPr>
        <w:spacing w:after="225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 xml:space="preserve">Where </w:t>
      </w:r>
      <w:r w:rsidR="003D5F4C" w:rsidRPr="003D5F4C">
        <w:rPr>
          <w:rFonts w:ascii="Helvetica" w:eastAsia="Times New Roman" w:hAnsi="Helvetica" w:cs="Arial"/>
          <w:color w:val="606068"/>
          <w:sz w:val="20"/>
          <w:szCs w:val="20"/>
        </w:rPr>
        <w:t xml:space="preserve">possible, VA will use carryover funds to continue some of these services. But in the event of a prolonged federal government shutdown, all of these services will be discontinued.  </w:t>
      </w:r>
    </w:p>
    <w:p w:rsidR="00167450" w:rsidRPr="00167450" w:rsidRDefault="00167450" w:rsidP="00167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VBA Regional Offices public contact services will not be available</w:t>
      </w:r>
    </w:p>
    <w:p w:rsidR="00CF6413" w:rsidRPr="00167450" w:rsidRDefault="00CF6413" w:rsidP="00CF6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Vocational Rehabilitation and Education Counseling will be limited</w:t>
      </w:r>
    </w:p>
    <w:p w:rsidR="00CF6413" w:rsidRPr="00167450" w:rsidRDefault="00CF6413" w:rsidP="00CF6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In the event of a prolonged shutdown, no decisions on appeals or motions will be issued by the Board of Veterans Appeals and no Board field hearings on appeals will be held</w:t>
      </w:r>
    </w:p>
    <w:p w:rsidR="00CF6413" w:rsidRPr="00167450" w:rsidRDefault="00CF6413" w:rsidP="00CF6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Interments at National Cemeteries will be conducted on a reduced schedule</w:t>
      </w:r>
    </w:p>
    <w:p w:rsidR="00CF6413" w:rsidRPr="00167450" w:rsidRDefault="00CF6413" w:rsidP="00CF6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Presidential Memorial certificates will not be processed</w:t>
      </w:r>
    </w:p>
    <w:p w:rsidR="00CF6413" w:rsidRPr="00167450" w:rsidRDefault="00CF6413" w:rsidP="00CF6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Recruiting and hiring of job applicants will cease with the exception of the Veterans Health Administration</w:t>
      </w:r>
    </w:p>
    <w:p w:rsidR="00CF6413" w:rsidRPr="00167450" w:rsidRDefault="00CF6413" w:rsidP="00CF6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proofErr w:type="spellStart"/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VetSuccess</w:t>
      </w:r>
      <w:proofErr w:type="spellEnd"/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 xml:space="preserve"> on Campus suspended</w:t>
      </w:r>
    </w:p>
    <w:p w:rsidR="00CF6413" w:rsidRPr="00167450" w:rsidRDefault="00CF6413" w:rsidP="00CF6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Military services coordinator operations will be suspended, including overseas</w:t>
      </w:r>
    </w:p>
    <w:p w:rsidR="00167450" w:rsidRPr="00167450" w:rsidRDefault="00167450" w:rsidP="00167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Freedom of Information Act queries will not be processed</w:t>
      </w:r>
    </w:p>
    <w:p w:rsidR="00167450" w:rsidRPr="00167450" w:rsidRDefault="00167450" w:rsidP="00167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Privacy Act requests will not be processed</w:t>
      </w:r>
    </w:p>
    <w:p w:rsidR="00CF6413" w:rsidRPr="00167450" w:rsidRDefault="00CF6413" w:rsidP="00CF6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>Outreach and public awareness a</w:t>
      </w: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>ctivities</w:t>
      </w:r>
      <w:r>
        <w:rPr>
          <w:rFonts w:ascii="Helvetica" w:eastAsia="Times New Roman" w:hAnsi="Helvetica" w:cs="Arial"/>
          <w:color w:val="606068"/>
          <w:sz w:val="20"/>
          <w:szCs w:val="20"/>
        </w:rPr>
        <w:t xml:space="preserve"> suspended</w:t>
      </w:r>
    </w:p>
    <w:p w:rsidR="00167450" w:rsidRPr="00167450" w:rsidRDefault="000F222A" w:rsidP="00167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>VA s</w:t>
      </w:r>
      <w:r w:rsidR="00167450" w:rsidRPr="00167450">
        <w:rPr>
          <w:rFonts w:ascii="Helvetica" w:eastAsia="Times New Roman" w:hAnsi="Helvetica" w:cs="Arial"/>
          <w:color w:val="606068"/>
          <w:sz w:val="20"/>
          <w:szCs w:val="20"/>
        </w:rPr>
        <w:t>ecretary correspondence with Veterans and VSOs suspended</w:t>
      </w:r>
    </w:p>
    <w:p w:rsidR="000F222A" w:rsidRPr="00167450" w:rsidRDefault="00CF6413" w:rsidP="000F2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>
        <w:rPr>
          <w:rFonts w:ascii="Helvetica" w:eastAsia="Times New Roman" w:hAnsi="Helvetica" w:cs="Arial"/>
          <w:color w:val="606068"/>
          <w:sz w:val="20"/>
          <w:szCs w:val="20"/>
        </w:rPr>
        <w:t xml:space="preserve">VA’s websites may </w:t>
      </w:r>
      <w:r w:rsidR="000F222A">
        <w:rPr>
          <w:rFonts w:ascii="Helvetica" w:eastAsia="Times New Roman" w:hAnsi="Helvetica" w:cs="Arial"/>
          <w:color w:val="606068"/>
          <w:sz w:val="20"/>
          <w:szCs w:val="20"/>
        </w:rPr>
        <w:t xml:space="preserve">not </w:t>
      </w:r>
      <w:r w:rsidR="000F222A" w:rsidRPr="00167450">
        <w:rPr>
          <w:rFonts w:ascii="Helvetica" w:eastAsia="Times New Roman" w:hAnsi="Helvetica" w:cs="Arial"/>
          <w:color w:val="606068"/>
          <w:sz w:val="20"/>
          <w:szCs w:val="20"/>
        </w:rPr>
        <w:t>be updated</w:t>
      </w:r>
      <w:r w:rsidR="000F222A">
        <w:rPr>
          <w:rFonts w:ascii="Helvetica" w:eastAsia="Times New Roman" w:hAnsi="Helvetica" w:cs="Arial"/>
          <w:color w:val="606068"/>
          <w:sz w:val="20"/>
          <w:szCs w:val="20"/>
        </w:rPr>
        <w:t xml:space="preserve"> regularly</w:t>
      </w:r>
    </w:p>
    <w:p w:rsidR="000F222A" w:rsidRPr="000F222A" w:rsidRDefault="000F222A" w:rsidP="000F2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0F222A">
        <w:rPr>
          <w:rFonts w:ascii="Helvetica" w:eastAsia="Times New Roman" w:hAnsi="Helvetica" w:cs="Arial"/>
          <w:color w:val="606068"/>
          <w:sz w:val="20"/>
          <w:szCs w:val="20"/>
        </w:rPr>
        <w:t>VA’s social media web sites may not be updated regularly</w:t>
      </w:r>
    </w:p>
    <w:p w:rsidR="00574D17" w:rsidRPr="00574D17" w:rsidRDefault="00167450" w:rsidP="00574D17">
      <w:pPr>
        <w:spacing w:after="225" w:line="240" w:lineRule="auto"/>
        <w:rPr>
          <w:rFonts w:ascii="Helvetica" w:eastAsia="Times New Roman" w:hAnsi="Helvetica" w:cs="Arial"/>
          <w:color w:val="606068"/>
          <w:sz w:val="20"/>
          <w:szCs w:val="20"/>
        </w:rPr>
      </w:pPr>
      <w:r w:rsidRPr="00167450">
        <w:rPr>
          <w:rFonts w:ascii="Helvetica" w:eastAsia="Times New Roman" w:hAnsi="Helvetica" w:cs="Arial"/>
          <w:color w:val="606068"/>
          <w:sz w:val="20"/>
          <w:szCs w:val="20"/>
        </w:rPr>
        <w:t xml:space="preserve">In the event of a prolonged shutdown, VA will continue to review and update its plan in conjunction with the applicable legal requirements and circumstances. </w:t>
      </w:r>
    </w:p>
    <w:p w:rsidR="00574D17" w:rsidRDefault="00083C1A" w:rsidP="00574D17">
      <w:pPr>
        <w:pStyle w:val="NormalWeb"/>
        <w:rPr>
          <w:rFonts w:ascii="Helvetica" w:hAnsi="Helvetica" w:cs="Helvetica"/>
          <w:color w:val="606068"/>
          <w:sz w:val="20"/>
          <w:szCs w:val="20"/>
        </w:rPr>
      </w:pPr>
      <w:hyperlink r:id="rId7" w:history="1">
        <w:r w:rsidR="00574D17">
          <w:rPr>
            <w:rStyle w:val="Hyperlink"/>
            <w:rFonts w:ascii="Helvetica" w:hAnsi="Helvetica" w:cs="Helvetica"/>
            <w:sz w:val="20"/>
            <w:szCs w:val="20"/>
          </w:rPr>
          <w:t>VA's detailed contingency plan</w:t>
        </w:r>
      </w:hyperlink>
      <w:r w:rsidR="00574D17">
        <w:rPr>
          <w:rFonts w:ascii="Helvetica" w:hAnsi="Helvetica" w:cs="Helvetica"/>
          <w:color w:val="606068"/>
          <w:sz w:val="20"/>
          <w:szCs w:val="20"/>
        </w:rPr>
        <w:t xml:space="preserve"> is available below and </w:t>
      </w:r>
      <w:hyperlink r:id="rId8" w:history="1">
        <w:r w:rsidR="00574D17">
          <w:rPr>
            <w:rStyle w:val="Hyperlink"/>
            <w:rFonts w:ascii="Helvetica" w:hAnsi="Helvetica" w:cs="Helvetica"/>
            <w:sz w:val="20"/>
            <w:szCs w:val="20"/>
          </w:rPr>
          <w:t>on the VA.gov website</w:t>
        </w:r>
      </w:hyperlink>
      <w:r w:rsidR="00574D17">
        <w:rPr>
          <w:rFonts w:ascii="Helvetica" w:hAnsi="Helvetica" w:cs="Helvetica"/>
          <w:color w:val="606068"/>
          <w:sz w:val="20"/>
          <w:szCs w:val="20"/>
        </w:rPr>
        <w:t>. The document outlines programs and resources necessary to ensure</w:t>
      </w:r>
      <w:r w:rsidR="00E323E2">
        <w:rPr>
          <w:rFonts w:ascii="Helvetica" w:hAnsi="Helvetica" w:cs="Helvetica"/>
          <w:color w:val="606068"/>
          <w:sz w:val="20"/>
          <w:szCs w:val="20"/>
        </w:rPr>
        <w:t xml:space="preserve"> the shutdown of VA’s functions</w:t>
      </w:r>
      <w:r w:rsidR="00574D17">
        <w:rPr>
          <w:rFonts w:ascii="Helvetica" w:hAnsi="Helvetica" w:cs="Helvetica"/>
          <w:color w:val="606068"/>
          <w:sz w:val="20"/>
          <w:szCs w:val="20"/>
        </w:rPr>
        <w:t xml:space="preserve"> if normal operations are suspended. It applies to all personnel and contractors assigned to</w:t>
      </w:r>
      <w:r w:rsidR="00E323E2">
        <w:rPr>
          <w:rFonts w:ascii="Helvetica" w:hAnsi="Helvetica" w:cs="Helvetica"/>
          <w:color w:val="606068"/>
          <w:sz w:val="20"/>
          <w:szCs w:val="20"/>
        </w:rPr>
        <w:t xml:space="preserve"> </w:t>
      </w:r>
      <w:r w:rsidR="00574D17">
        <w:rPr>
          <w:rFonts w:ascii="Helvetica" w:hAnsi="Helvetica" w:cs="Helvetica"/>
          <w:color w:val="606068"/>
          <w:sz w:val="20"/>
          <w:szCs w:val="20"/>
        </w:rPr>
        <w:t>or performing services for VA.</w:t>
      </w:r>
    </w:p>
    <w:p w:rsidR="00083C1A" w:rsidRPr="00D541D8" w:rsidRDefault="00083C1A" w:rsidP="00083C1A">
      <w:pPr>
        <w:shd w:val="clear" w:color="auto" w:fill="FFFFFF"/>
        <w:spacing w:before="300" w:after="0" w:line="240" w:lineRule="auto"/>
        <w:outlineLvl w:val="1"/>
        <w:rPr>
          <w:rFonts w:ascii="Georgia" w:eastAsia="Times New Roman" w:hAnsi="Georgia" w:cs="Arial"/>
          <w:color w:val="003F72"/>
          <w:sz w:val="28"/>
          <w:szCs w:val="28"/>
          <w:lang w:val="en"/>
        </w:rPr>
      </w:pPr>
      <w:r w:rsidRPr="00D541D8">
        <w:rPr>
          <w:rFonts w:ascii="Georgia" w:eastAsia="Times New Roman" w:hAnsi="Georgia" w:cs="Arial"/>
          <w:color w:val="003F72"/>
          <w:sz w:val="28"/>
          <w:szCs w:val="28"/>
          <w:lang w:val="en"/>
        </w:rPr>
        <w:t>Information for V</w:t>
      </w:r>
      <w:r>
        <w:rPr>
          <w:rFonts w:ascii="Georgia" w:eastAsia="Times New Roman" w:hAnsi="Georgia" w:cs="Arial"/>
          <w:color w:val="003F72"/>
          <w:sz w:val="28"/>
          <w:szCs w:val="28"/>
          <w:lang w:val="en"/>
        </w:rPr>
        <w:t>eterans</w:t>
      </w:r>
    </w:p>
    <w:p w:rsidR="00083C1A" w:rsidRDefault="00083C1A" w:rsidP="00083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10C29"/>
          <w:sz w:val="18"/>
          <w:szCs w:val="18"/>
          <w:lang w:val="en"/>
        </w:rPr>
      </w:pPr>
      <w:r w:rsidRPr="00D541D8">
        <w:rPr>
          <w:rFonts w:ascii="Arial" w:eastAsia="Times New Roman" w:hAnsi="Arial" w:cs="Arial"/>
          <w:color w:val="010C29"/>
          <w:sz w:val="18"/>
          <w:szCs w:val="18"/>
          <w:lang w:val="en"/>
        </w:rPr>
        <w:t xml:space="preserve">VA </w:t>
      </w:r>
      <w:hyperlink r:id="rId9" w:history="1">
        <w:r w:rsidRPr="00D541D8">
          <w:rPr>
            <w:rFonts w:ascii="Arial" w:eastAsia="Times New Roman" w:hAnsi="Arial" w:cs="Arial"/>
            <w:color w:val="0B6CB2"/>
            <w:sz w:val="18"/>
            <w:szCs w:val="18"/>
            <w:lang w:val="en"/>
          </w:rPr>
          <w:t xml:space="preserve">Appropriations Lapse Contingency Plan </w:t>
        </w:r>
      </w:hyperlink>
      <w:r>
        <w:rPr>
          <w:rFonts w:ascii="Arial" w:eastAsia="Times New Roman" w:hAnsi="Arial" w:cs="Arial"/>
          <w:color w:val="010C29"/>
          <w:sz w:val="18"/>
          <w:szCs w:val="18"/>
          <w:lang w:val="en"/>
        </w:rPr>
        <w:t>(Updated Feb. 1, 2018)</w:t>
      </w:r>
    </w:p>
    <w:p w:rsidR="00083C1A" w:rsidRDefault="00083C1A" w:rsidP="00083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10C29"/>
          <w:sz w:val="18"/>
          <w:szCs w:val="18"/>
          <w:lang w:val="en"/>
        </w:rPr>
      </w:pPr>
      <w:r w:rsidRPr="00D541D8">
        <w:rPr>
          <w:rFonts w:ascii="Arial" w:eastAsia="Times New Roman" w:hAnsi="Arial" w:cs="Arial"/>
          <w:color w:val="010C29"/>
          <w:sz w:val="18"/>
          <w:szCs w:val="18"/>
          <w:lang w:val="en"/>
        </w:rPr>
        <w:t>Impact of lapse in appropriations on VA services – February 2018</w:t>
      </w:r>
      <w:r>
        <w:rPr>
          <w:rFonts w:ascii="Arial" w:eastAsia="Times New Roman" w:hAnsi="Arial" w:cs="Arial"/>
          <w:color w:val="010C29"/>
          <w:sz w:val="18"/>
          <w:szCs w:val="18"/>
          <w:lang w:val="en"/>
        </w:rPr>
        <w:t xml:space="preserve"> </w:t>
      </w:r>
    </w:p>
    <w:p w:rsidR="00083C1A" w:rsidRPr="00D541D8" w:rsidRDefault="00083C1A" w:rsidP="00083C1A">
      <w:pPr>
        <w:shd w:val="clear" w:color="auto" w:fill="FFFFFF"/>
        <w:spacing w:before="300" w:after="0" w:line="240" w:lineRule="auto"/>
        <w:outlineLvl w:val="1"/>
        <w:rPr>
          <w:rFonts w:ascii="Georgia" w:eastAsia="Times New Roman" w:hAnsi="Georgia" w:cs="Arial"/>
          <w:color w:val="003F72"/>
          <w:sz w:val="28"/>
          <w:szCs w:val="28"/>
          <w:lang w:val="en"/>
        </w:rPr>
      </w:pPr>
      <w:r w:rsidRPr="00D541D8">
        <w:rPr>
          <w:rFonts w:ascii="Georgia" w:eastAsia="Times New Roman" w:hAnsi="Georgia" w:cs="Arial"/>
          <w:color w:val="003F72"/>
          <w:sz w:val="28"/>
          <w:szCs w:val="28"/>
          <w:lang w:val="en"/>
        </w:rPr>
        <w:t>Information for VA Employees</w:t>
      </w:r>
    </w:p>
    <w:p w:rsidR="00083C1A" w:rsidRPr="00D541D8" w:rsidRDefault="00083C1A" w:rsidP="00083C1A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10C29"/>
          <w:sz w:val="18"/>
          <w:szCs w:val="18"/>
          <w:lang w:val="en"/>
        </w:rPr>
      </w:pPr>
      <w:hyperlink r:id="rId10" w:history="1">
        <w:r w:rsidRPr="00D541D8">
          <w:rPr>
            <w:rFonts w:ascii="Arial" w:eastAsia="Times New Roman" w:hAnsi="Arial" w:cs="Arial"/>
            <w:color w:val="0B6CB2"/>
            <w:sz w:val="18"/>
            <w:szCs w:val="18"/>
            <w:lang w:val="en"/>
          </w:rPr>
          <w:t>Guidance for Shutdown Furloughs via Office of Personnel Management</w:t>
        </w:r>
      </w:hyperlink>
    </w:p>
    <w:p w:rsidR="00083C1A" w:rsidRPr="00D541D8" w:rsidRDefault="00083C1A" w:rsidP="00083C1A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10C29"/>
          <w:sz w:val="18"/>
          <w:szCs w:val="18"/>
          <w:lang w:val="en"/>
        </w:rPr>
      </w:pPr>
      <w:hyperlink r:id="rId11" w:history="1">
        <w:r w:rsidRPr="00D541D8">
          <w:rPr>
            <w:rFonts w:ascii="Arial" w:eastAsia="Times New Roman" w:hAnsi="Arial" w:cs="Arial"/>
            <w:color w:val="0B6CB2"/>
            <w:sz w:val="18"/>
            <w:szCs w:val="18"/>
            <w:lang w:val="en"/>
          </w:rPr>
          <w:t>VA Guidance – Frequently Asked Questions for Emergency Shutdown Furlough</w:t>
        </w:r>
      </w:hyperlink>
    </w:p>
    <w:p w:rsidR="00083C1A" w:rsidRPr="00D541D8" w:rsidRDefault="00083C1A" w:rsidP="00083C1A">
      <w:pPr>
        <w:shd w:val="clear" w:color="auto" w:fill="FFFFFF"/>
        <w:spacing w:before="300" w:after="0" w:line="240" w:lineRule="auto"/>
        <w:outlineLvl w:val="1"/>
        <w:rPr>
          <w:rFonts w:ascii="Georgia" w:eastAsia="Times New Roman" w:hAnsi="Georgia" w:cs="Arial"/>
          <w:color w:val="003F72"/>
          <w:sz w:val="28"/>
          <w:szCs w:val="28"/>
          <w:lang w:val="en"/>
        </w:rPr>
      </w:pPr>
      <w:r>
        <w:rPr>
          <w:rFonts w:ascii="Georgia" w:eastAsia="Times New Roman" w:hAnsi="Georgia" w:cs="Arial"/>
          <w:color w:val="003F72"/>
          <w:sz w:val="28"/>
          <w:szCs w:val="28"/>
          <w:lang w:val="en"/>
        </w:rPr>
        <w:t>OMB Information</w:t>
      </w:r>
    </w:p>
    <w:p w:rsidR="00083C1A" w:rsidRPr="00D541D8" w:rsidRDefault="00083C1A" w:rsidP="00083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10C29"/>
          <w:sz w:val="18"/>
          <w:szCs w:val="18"/>
          <w:lang w:val="en"/>
        </w:rPr>
      </w:pPr>
      <w:r w:rsidRPr="00D541D8">
        <w:rPr>
          <w:rFonts w:ascii="Arial" w:eastAsia="Times New Roman" w:hAnsi="Arial" w:cs="Arial"/>
          <w:color w:val="010C29"/>
          <w:sz w:val="18"/>
          <w:szCs w:val="18"/>
          <w:lang w:val="en"/>
        </w:rPr>
        <w:t xml:space="preserve">OMB Memorandum M-18-05, </w:t>
      </w:r>
      <w:hyperlink r:id="rId12" w:history="1">
        <w:r w:rsidRPr="00D541D8">
          <w:rPr>
            <w:rFonts w:ascii="Arial" w:eastAsia="Times New Roman" w:hAnsi="Arial" w:cs="Arial"/>
            <w:color w:val="0B6CB2"/>
            <w:sz w:val="18"/>
            <w:szCs w:val="18"/>
            <w:lang w:val="en"/>
          </w:rPr>
          <w:t>Planning for Agency Operations during a Potential Lapse in Appropriations</w:t>
        </w:r>
      </w:hyperlink>
      <w:r w:rsidRPr="00D541D8">
        <w:rPr>
          <w:rFonts w:ascii="Arial" w:eastAsia="Times New Roman" w:hAnsi="Arial" w:cs="Arial"/>
          <w:color w:val="010C29"/>
          <w:sz w:val="18"/>
          <w:szCs w:val="18"/>
          <w:lang w:val="en"/>
        </w:rPr>
        <w:t xml:space="preserve"> (January 19, 2018) (16 Pages, 9 MB)</w:t>
      </w:r>
    </w:p>
    <w:p w:rsidR="00083C1A" w:rsidRPr="00D541D8" w:rsidRDefault="00083C1A" w:rsidP="00083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10C29"/>
          <w:sz w:val="18"/>
          <w:szCs w:val="18"/>
          <w:lang w:val="en"/>
        </w:rPr>
      </w:pPr>
      <w:r w:rsidRPr="00D541D8">
        <w:rPr>
          <w:rFonts w:ascii="Arial" w:eastAsia="Times New Roman" w:hAnsi="Arial" w:cs="Arial"/>
          <w:color w:val="010C29"/>
          <w:sz w:val="18"/>
          <w:szCs w:val="18"/>
          <w:lang w:val="en"/>
        </w:rPr>
        <w:t xml:space="preserve">OMB Memorandum M-18-06, </w:t>
      </w:r>
      <w:hyperlink r:id="rId13" w:history="1">
        <w:r w:rsidRPr="00D541D8">
          <w:rPr>
            <w:rFonts w:ascii="Arial" w:eastAsia="Times New Roman" w:hAnsi="Arial" w:cs="Arial"/>
            <w:color w:val="0B6CB2"/>
            <w:sz w:val="18"/>
            <w:szCs w:val="18"/>
            <w:lang w:val="en"/>
          </w:rPr>
          <w:t>Status of Agency Operations</w:t>
        </w:r>
      </w:hyperlink>
      <w:r w:rsidRPr="00D541D8">
        <w:rPr>
          <w:rFonts w:ascii="Arial" w:eastAsia="Times New Roman" w:hAnsi="Arial" w:cs="Arial"/>
          <w:color w:val="010C29"/>
          <w:sz w:val="18"/>
          <w:szCs w:val="18"/>
          <w:lang w:val="en"/>
        </w:rPr>
        <w:t xml:space="preserve"> (January 20, 2018) (1 Page,295 KB)</w:t>
      </w:r>
    </w:p>
    <w:p w:rsidR="00167450" w:rsidRPr="00083C1A" w:rsidRDefault="00083C1A" w:rsidP="00083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10C29"/>
          <w:sz w:val="18"/>
          <w:szCs w:val="18"/>
          <w:lang w:val="en"/>
        </w:rPr>
      </w:pPr>
      <w:r w:rsidRPr="00D541D8">
        <w:rPr>
          <w:rFonts w:ascii="Arial" w:eastAsia="Times New Roman" w:hAnsi="Arial" w:cs="Arial"/>
          <w:color w:val="010C29"/>
          <w:sz w:val="18"/>
          <w:szCs w:val="18"/>
          <w:lang w:val="en"/>
        </w:rPr>
        <w:t xml:space="preserve">OMB Bulletin No. 18-01, </w:t>
      </w:r>
      <w:hyperlink r:id="rId14" w:history="1">
        <w:r w:rsidRPr="00D541D8">
          <w:rPr>
            <w:rFonts w:ascii="Arial" w:eastAsia="Times New Roman" w:hAnsi="Arial" w:cs="Arial"/>
            <w:color w:val="0B6CB2"/>
            <w:sz w:val="18"/>
            <w:szCs w:val="18"/>
            <w:lang w:val="en"/>
          </w:rPr>
          <w:t>Apportionment of Obligational Authority for Necessary Agency Operations in the Absence of Fiscal Year 2018 Appropriations</w:t>
        </w:r>
      </w:hyperlink>
      <w:r w:rsidRPr="00D541D8">
        <w:rPr>
          <w:rFonts w:ascii="Arial" w:eastAsia="Times New Roman" w:hAnsi="Arial" w:cs="Arial"/>
          <w:color w:val="010C29"/>
          <w:sz w:val="18"/>
          <w:szCs w:val="18"/>
          <w:lang w:val="en"/>
        </w:rPr>
        <w:t xml:space="preserve"> (1 page, 634 KB)</w:t>
      </w:r>
      <w:bookmarkStart w:id="0" w:name="_GoBack"/>
      <w:bookmarkEnd w:id="0"/>
    </w:p>
    <w:p w:rsidR="00167450" w:rsidRPr="00167450" w:rsidRDefault="00167450" w:rsidP="00167450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Arial"/>
          <w:color w:val="000099"/>
          <w:spacing w:val="-2"/>
          <w:kern w:val="36"/>
          <w:sz w:val="37"/>
          <w:szCs w:val="37"/>
          <w:lang w:val="en"/>
        </w:rPr>
      </w:pPr>
      <w:r w:rsidRPr="00167450">
        <w:rPr>
          <w:rFonts w:ascii="Georgia" w:eastAsia="Times New Roman" w:hAnsi="Georgia" w:cs="Arial"/>
          <w:color w:val="000099"/>
          <w:spacing w:val="-2"/>
          <w:kern w:val="36"/>
          <w:sz w:val="37"/>
          <w:szCs w:val="37"/>
          <w:lang w:val="en"/>
        </w:rPr>
        <w:lastRenderedPageBreak/>
        <w:t>Toll Free Numbers for Contacting VA</w:t>
      </w:r>
    </w:p>
    <w:p w:rsidR="00167450" w:rsidRPr="00167450" w:rsidRDefault="00167450" w:rsidP="00167450">
      <w:pPr>
        <w:shd w:val="clear" w:color="auto" w:fill="FFFFFF"/>
        <w:spacing w:line="336" w:lineRule="auto"/>
        <w:rPr>
          <w:rFonts w:ascii="Arial" w:eastAsia="Times New Roman" w:hAnsi="Arial" w:cs="Arial"/>
          <w:color w:val="888888"/>
          <w:sz w:val="18"/>
          <w:szCs w:val="18"/>
          <w:lang w:val="en"/>
        </w:rPr>
      </w:pPr>
      <w:r w:rsidRPr="00167450">
        <w:rPr>
          <w:rFonts w:ascii="Arial" w:eastAsia="Times New Roman" w:hAnsi="Arial" w:cs="Arial"/>
          <w:color w:val="888888"/>
          <w:sz w:val="18"/>
          <w:szCs w:val="18"/>
          <w:lang w:val="en"/>
        </w:rPr>
        <w:t xml:space="preserve">Updated 12/21/2017 10:36 </w:t>
      </w:r>
      <w:proofErr w:type="gramStart"/>
      <w:r w:rsidRPr="00167450">
        <w:rPr>
          <w:rFonts w:ascii="Arial" w:eastAsia="Times New Roman" w:hAnsi="Arial" w:cs="Arial"/>
          <w:color w:val="888888"/>
          <w:sz w:val="18"/>
          <w:szCs w:val="18"/>
          <w:lang w:val="en"/>
        </w:rPr>
        <w:t>AM</w:t>
      </w:r>
      <w:proofErr w:type="gramEnd"/>
      <w:r w:rsidRPr="00167450">
        <w:rPr>
          <w:rFonts w:ascii="Arial" w:eastAsia="Times New Roman" w:hAnsi="Arial" w:cs="Arial"/>
          <w:color w:val="888888"/>
          <w:sz w:val="18"/>
          <w:szCs w:val="18"/>
          <w:lang w:val="en"/>
        </w:rPr>
        <w:t xml:space="preserve"> </w:t>
      </w:r>
    </w:p>
    <w:p w:rsidR="00167450" w:rsidRPr="00167450" w:rsidRDefault="00167450" w:rsidP="00167450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2E2E2E"/>
          <w:sz w:val="20"/>
          <w:szCs w:val="20"/>
          <w:lang w:val="en"/>
        </w:rPr>
      </w:pPr>
      <w:r w:rsidRPr="00167450">
        <w:rPr>
          <w:rFonts w:ascii="Arial" w:eastAsia="Times New Roman" w:hAnsi="Arial" w:cs="Arial"/>
          <w:color w:val="2E2E2E"/>
          <w:sz w:val="20"/>
          <w:szCs w:val="20"/>
          <w:lang w:val="en"/>
        </w:rPr>
        <w:t>Toll Free Numbers for Contacting VA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4350"/>
      </w:tblGrid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double" w:sz="6" w:space="0" w:color="FFFFFF"/>
            </w:tcBorders>
            <w:shd w:val="clear" w:color="auto" w:fill="0000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 Name(s)</w:t>
            </w:r>
          </w:p>
        </w:tc>
        <w:tc>
          <w:tcPr>
            <w:tcW w:w="2285" w:type="pct"/>
            <w:tcBorders>
              <w:bottom w:val="double" w:sz="6" w:space="0" w:color="FFFFFF"/>
            </w:tcBorders>
            <w:shd w:val="clear" w:color="auto" w:fill="0000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Toll Free Number(s)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Beneficiaries in receipt of Pension Benefits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1-877-294-6380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 xml:space="preserve">Benefits (VA): 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Burial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Death Pension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Dependency Indemnity Compensation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Direct Deposit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Directions to VA Benefits Regional Offices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Disability Compensation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Disability Pension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Education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Home Loan Guaranty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Medical Care</w:t>
            </w:r>
          </w:p>
          <w:p w:rsidR="00167450" w:rsidRPr="00857CE2" w:rsidRDefault="00167450" w:rsidP="00857CE2">
            <w:pPr>
              <w:pStyle w:val="ListParagraph"/>
              <w:numPr>
                <w:ilvl w:val="0"/>
                <w:numId w:val="10"/>
              </w:numPr>
              <w:spacing w:before="60" w:after="60" w:line="336" w:lineRule="atLeast"/>
              <w:ind w:right="60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Vocational Rehabilitation and Employment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1-800-827-1000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CHAMPVA Meds by Mail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1-888-385-0235 (or)</w:t>
            </w: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br/>
              <w:t>1-866-229-7389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Combat Call Center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1-877-WAR-VETS (1-877-927-8387)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Debt Management Center (Collection of Non-Medical Debts)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1-800-827-0648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Children of Women Vietnam Veterans (CWVV)</w:t>
            </w: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br/>
              <w:t>Foreign Medical Program (FMP)</w:t>
            </w: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br/>
              <w:t>Spina Bifida Health Care Program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1-877-345-8179 (or)</w:t>
            </w: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br/>
              <w:t>1-888-820-1756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857CE2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Civilian Health and Medical Program of the Departmen</w:t>
            </w:r>
            <w:r w:rsid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 xml:space="preserve">t of Veterans Affairs (CHAMPVA) </w:t>
            </w:r>
          </w:p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CHAMPVA In-House Treatment Initiative (CITI)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1-800-733-8387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proofErr w:type="spellStart"/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eBenefits</w:t>
            </w:r>
            <w:proofErr w:type="spellEnd"/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 xml:space="preserve"> Technical Support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1-800-983-0937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Education (GI Bill)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1-888-442-4551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Health Care Benefits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1-877-222-8387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Life Insurance:</w:t>
            </w: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br/>
              <w:t>Service members and/or Veterans Group Life Insurance Program</w:t>
            </w: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br/>
              <w:t>All other VA Life Insurance Programs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br/>
              <w:t>1-800-419-1473</w:t>
            </w: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br/>
              <w:t>1-800-669-8477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lastRenderedPageBreak/>
              <w:t>Mammography Helpline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1-888-492-7844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Smoking Cessation Counselors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1-855-QUIT-VET (1-855-784-8838)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Special Issues - Gulf War/Agent Orange/</w:t>
            </w:r>
            <w:r w:rsidR="00857CE2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 xml:space="preserve">Project Shad/Mustard Agents and </w:t>
            </w: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Lewisite/Ionizing Radiation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1-800-749-8387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Status of Headstones and Markers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1-800-697-6947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Telecommunications Device for the Deaf (TDD)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Dial 711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Veterans Crisis Line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1-800-273-TALK (1-800-273-8255)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White House VA Hotline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1-855-948-2311</w:t>
            </w:r>
          </w:p>
        </w:tc>
      </w:tr>
      <w:tr w:rsidR="00167450" w:rsidRPr="00167450" w:rsidTr="00857CE2">
        <w:trPr>
          <w:tblCellSpacing w:w="15" w:type="dxa"/>
        </w:trPr>
        <w:tc>
          <w:tcPr>
            <w:tcW w:w="2667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Women Veterans Hotline</w:t>
            </w:r>
          </w:p>
        </w:tc>
        <w:tc>
          <w:tcPr>
            <w:tcW w:w="2285" w:type="pct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167450" w:rsidRPr="00167450" w:rsidRDefault="00167450" w:rsidP="00167450">
            <w:pPr>
              <w:spacing w:after="0" w:line="300" w:lineRule="atLeast"/>
              <w:rPr>
                <w:rFonts w:ascii="Arial" w:eastAsia="Times New Roman" w:hAnsi="Arial" w:cs="Arial"/>
                <w:color w:val="010C29"/>
                <w:sz w:val="18"/>
                <w:szCs w:val="18"/>
              </w:rPr>
            </w:pPr>
            <w:r w:rsidRPr="00167450">
              <w:rPr>
                <w:rFonts w:ascii="Arial" w:eastAsia="Times New Roman" w:hAnsi="Arial" w:cs="Arial"/>
                <w:color w:val="010C29"/>
                <w:sz w:val="18"/>
                <w:szCs w:val="18"/>
              </w:rPr>
              <w:t>1-855-VA-WOMEN (1-855-829-6636)</w:t>
            </w:r>
          </w:p>
        </w:tc>
      </w:tr>
    </w:tbl>
    <w:p w:rsidR="00167450" w:rsidRDefault="00167450"/>
    <w:sectPr w:rsidR="0016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5C8B"/>
    <w:multiLevelType w:val="multilevel"/>
    <w:tmpl w:val="0D8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D7BEB"/>
    <w:multiLevelType w:val="multilevel"/>
    <w:tmpl w:val="656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A5BB8"/>
    <w:multiLevelType w:val="multilevel"/>
    <w:tmpl w:val="C77C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D146C"/>
    <w:multiLevelType w:val="multilevel"/>
    <w:tmpl w:val="464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12AB8"/>
    <w:multiLevelType w:val="multilevel"/>
    <w:tmpl w:val="1C9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356D4"/>
    <w:multiLevelType w:val="multilevel"/>
    <w:tmpl w:val="7AA8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7E7EED"/>
    <w:multiLevelType w:val="multilevel"/>
    <w:tmpl w:val="2FD6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863979"/>
    <w:multiLevelType w:val="multilevel"/>
    <w:tmpl w:val="11E4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187F10"/>
    <w:multiLevelType w:val="multilevel"/>
    <w:tmpl w:val="DDA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937F5"/>
    <w:multiLevelType w:val="multilevel"/>
    <w:tmpl w:val="C13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A2EB5"/>
    <w:multiLevelType w:val="multilevel"/>
    <w:tmpl w:val="2BC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5064C0"/>
    <w:multiLevelType w:val="multilevel"/>
    <w:tmpl w:val="0D8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50"/>
    <w:rsid w:val="00083C1A"/>
    <w:rsid w:val="000F222A"/>
    <w:rsid w:val="00164B89"/>
    <w:rsid w:val="00167450"/>
    <w:rsid w:val="002B37DA"/>
    <w:rsid w:val="003D5F4C"/>
    <w:rsid w:val="00574D17"/>
    <w:rsid w:val="005B303F"/>
    <w:rsid w:val="00857CE2"/>
    <w:rsid w:val="008F74DE"/>
    <w:rsid w:val="00AA672E"/>
    <w:rsid w:val="00CA60A6"/>
    <w:rsid w:val="00CF6413"/>
    <w:rsid w:val="00E3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450"/>
    <w:pPr>
      <w:spacing w:after="195" w:line="240" w:lineRule="auto"/>
      <w:outlineLvl w:val="1"/>
    </w:pPr>
    <w:rPr>
      <w:rFonts w:ascii="Arial Narrow" w:eastAsia="Times New Roman" w:hAnsi="Arial Narrow" w:cs="Times New Roman"/>
      <w:b/>
      <w:bCs/>
      <w:sz w:val="41"/>
      <w:szCs w:val="4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D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450"/>
    <w:rPr>
      <w:rFonts w:ascii="Arial Narrow" w:eastAsia="Times New Roman" w:hAnsi="Arial Narrow" w:cs="Times New Roman"/>
      <w:b/>
      <w:bCs/>
      <w:sz w:val="41"/>
      <w:szCs w:val="41"/>
    </w:rPr>
  </w:style>
  <w:style w:type="character" w:styleId="Strong">
    <w:name w:val="Strong"/>
    <w:basedOn w:val="DefaultParagraphFont"/>
    <w:uiPriority w:val="22"/>
    <w:qFormat/>
    <w:rsid w:val="00167450"/>
    <w:rPr>
      <w:b/>
      <w:bCs/>
    </w:rPr>
  </w:style>
  <w:style w:type="paragraph" w:styleId="NormalWeb">
    <w:name w:val="Normal (Web)"/>
    <w:basedOn w:val="Normal"/>
    <w:uiPriority w:val="99"/>
    <w:unhideWhenUsed/>
    <w:rsid w:val="00167450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5F4C"/>
    <w:rPr>
      <w:strike w:val="0"/>
      <w:dstrike w:val="0"/>
      <w:color w:val="428BCA"/>
      <w:u w:val="none"/>
      <w:effect w:val="none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D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7C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3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0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450"/>
    <w:pPr>
      <w:spacing w:after="195" w:line="240" w:lineRule="auto"/>
      <w:outlineLvl w:val="1"/>
    </w:pPr>
    <w:rPr>
      <w:rFonts w:ascii="Arial Narrow" w:eastAsia="Times New Roman" w:hAnsi="Arial Narrow" w:cs="Times New Roman"/>
      <w:b/>
      <w:bCs/>
      <w:sz w:val="41"/>
      <w:szCs w:val="4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D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450"/>
    <w:rPr>
      <w:rFonts w:ascii="Arial Narrow" w:eastAsia="Times New Roman" w:hAnsi="Arial Narrow" w:cs="Times New Roman"/>
      <w:b/>
      <w:bCs/>
      <w:sz w:val="41"/>
      <w:szCs w:val="41"/>
    </w:rPr>
  </w:style>
  <w:style w:type="character" w:styleId="Strong">
    <w:name w:val="Strong"/>
    <w:basedOn w:val="DefaultParagraphFont"/>
    <w:uiPriority w:val="22"/>
    <w:qFormat/>
    <w:rsid w:val="00167450"/>
    <w:rPr>
      <w:b/>
      <w:bCs/>
    </w:rPr>
  </w:style>
  <w:style w:type="paragraph" w:styleId="NormalWeb">
    <w:name w:val="Normal (Web)"/>
    <w:basedOn w:val="Normal"/>
    <w:uiPriority w:val="99"/>
    <w:unhideWhenUsed/>
    <w:rsid w:val="00167450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5F4C"/>
    <w:rPr>
      <w:strike w:val="0"/>
      <w:dstrike w:val="0"/>
      <w:color w:val="428BCA"/>
      <w:u w:val="none"/>
      <w:effect w:val="none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D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7C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3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0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2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72680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5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opa/appropriations_lapse_plan.asp" TargetMode="External"/><Relationship Id="rId13" Type="http://schemas.openxmlformats.org/officeDocument/2006/relationships/hyperlink" Target="https://www.whitehouse.gov/wp-content/uploads/2017/11/M-18-06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logs.va.gov/VAntage/43654/va-contingency-plan-2017/" TargetMode="External"/><Relationship Id="rId12" Type="http://schemas.openxmlformats.org/officeDocument/2006/relationships/hyperlink" Target="https://www.whitehouse.gov/wp-content/uploads/2017/11/m-18-05-REVISED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logs.va.gov/VAntage/43654/va-contingency-plan-2017/" TargetMode="External"/><Relationship Id="rId11" Type="http://schemas.openxmlformats.org/officeDocument/2006/relationships/hyperlink" Target="https://www.va.gov/opa/docs/VA_Guidance_FAQs_for_Emergency_Shutdown_Furlough_January_201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a.gov/opa/docs/OPM_Guidance_for_Shutdown_Furloughs_Jan_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ogs.va.gov/VAntage/43654/va-contingency-plan-2017/" TargetMode="External"/><Relationship Id="rId14" Type="http://schemas.openxmlformats.org/officeDocument/2006/relationships/hyperlink" Target="https://www.whitehouse.gov/wp-content/uploads/2017/11/Bulletin-18-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3</cp:revision>
  <dcterms:created xsi:type="dcterms:W3CDTF">2018-02-08T13:25:00Z</dcterms:created>
  <dcterms:modified xsi:type="dcterms:W3CDTF">2018-02-08T13:26:00Z</dcterms:modified>
</cp:coreProperties>
</file>