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xulc47asupm" w:id="0"/>
      <w:bookmarkEnd w:id="0"/>
      <w:r w:rsidDel="00000000" w:rsidR="00000000" w:rsidRPr="00000000">
        <w:rPr>
          <w:rtl w:val="0"/>
        </w:rPr>
        <w:t xml:space="preserve">Review of past research on digital Travel Pay submission challenges 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o6hsu34y3hat" w:id="1"/>
      <w:bookmarkEnd w:id="1"/>
      <w:r w:rsidDel="00000000" w:rsidR="00000000" w:rsidRPr="00000000">
        <w:rPr>
          <w:rtl w:val="0"/>
        </w:rPr>
        <w:t xml:space="preserve">18F Mid-point review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stated in the 18F mid-point review (slide 20-23):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BTSSS contains superfluous screens, small text, confusing instructions, and un-intuitive interface design.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implication: Follow VA guidelines on font sizing and design patterns, especially those around form design.  Look to PCI team’s work on information flows.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Several Veterans expressed a desire for in-app support of some kind, whether through a chat box or a phone number on-screen.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implication: provide some way to seek support (Help section, hotline, etc)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Information is poorly presented with very little hierarchy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implication: Follow clear headers, segments and hierarchy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As stated in 18F Mid-point review (slide 35):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appointments don’t show up within BTSSS and have to be added manually, which Veterans struggle with.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implications: provide users a clear, easy to use way to add claims.  Increase the prominence of this CTA.</w:t>
      </w:r>
      <w:r w:rsidDel="00000000" w:rsidR="00000000" w:rsidRPr="00000000">
        <w:rPr/>
        <w:drawing>
          <wp:inline distB="114300" distT="114300" distL="114300" distR="114300">
            <wp:extent cx="2982148" cy="3033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14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4586" cy="13348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586" cy="133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3398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39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unclear what your claims status is once submitted.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Design implication: Provide users with a way to become aware of or directed to the Status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23046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30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lkrfcsnjpz18" w:id="2"/>
      <w:bookmarkEnd w:id="2"/>
      <w:r w:rsidDel="00000000" w:rsidR="00000000" w:rsidRPr="00000000">
        <w:rPr>
          <w:rtl w:val="0"/>
        </w:rPr>
        <w:t xml:space="preserve">PCI Research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Refer to study: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Modernized Check-in Experience, Travel Reimbursement 10/2022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from 18F research: BTSSS contains superfluous screens, small text, confusing instructions, and un-intuitive interface design.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86013" cy="23515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51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Solution from PCI:</w:t>
      </w:r>
      <w:r w:rsidDel="00000000" w:rsidR="00000000" w:rsidRPr="00000000">
        <w:rPr>
          <w:rtl w:val="0"/>
        </w:rPr>
        <w:t xml:space="preserve"> Because the submission starts as attached to an appointment in a known location (because they are checking in) the PCI flow is able to utilize a simple yes/no confirm process leveraging known information.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 identified from 18F: Users are unclear what comes after submission.  Solution from PCI: tell users that they will be sent an update about their travel reimbursement.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github.com/department-of-veterans-affairs/va.gov-team/blob/master/products/health-care/checkin/research/veteran-facing/travel-reimbursement-mvp-remote-test/research-findings.md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