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iwlf7nqnidb" w:id="0"/>
      <w:bookmarkEnd w:id="0"/>
      <w:r w:rsidDel="00000000" w:rsidR="00000000" w:rsidRPr="00000000">
        <w:rPr>
          <w:rtl w:val="0"/>
        </w:rPr>
        <w:t xml:space="preserve">Health Questionnaire Pilot Feedback</w:t>
      </w:r>
    </w:p>
    <w:p w:rsidR="00000000" w:rsidDel="00000000" w:rsidP="00000000" w:rsidRDefault="00000000" w:rsidRPr="00000000" w14:paraId="00000002">
      <w:pPr>
        <w:ind w:left="0" w:firstLine="0"/>
        <w:rPr/>
      </w:pPr>
      <w:r w:rsidDel="00000000" w:rsidR="00000000" w:rsidRPr="00000000">
        <w:rPr>
          <w:rtl w:val="0"/>
        </w:rPr>
        <w:t xml:space="preserve">Did you complete an online questionnaire prior to your appointment today? The questionnaire asked for additional details you’d like to share with your provider, any concerns or changes in your life affecting your health, or any questions you wanted to ask your provider. </w:t>
      </w:r>
      <w:r w:rsidDel="00000000" w:rsidR="00000000" w:rsidRPr="00000000">
        <w:rPr>
          <w:i w:val="1"/>
          <w:rtl w:val="0"/>
        </w:rPr>
        <w:t xml:space="preserve">Circle one of the below answers.</w:t>
      </w: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Yes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No</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 don’t know</w:t>
      </w:r>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pStyle w:val="Heading1"/>
        <w:rPr/>
      </w:pPr>
      <w:bookmarkStart w:colFirst="0" w:colLast="0" w:name="_ree7d3lxjc53" w:id="1"/>
      <w:bookmarkEnd w:id="1"/>
      <w:r w:rsidDel="00000000" w:rsidR="00000000" w:rsidRPr="00000000">
        <w:rPr>
          <w:rtl w:val="0"/>
        </w:rPr>
        <w:t xml:space="preserve">If the Veteran answers “yes,” ask the following questions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Did you find the questionnaire useful or not useful as a way to prepare for your appointment? </w:t>
      </w:r>
      <w:r w:rsidDel="00000000" w:rsidR="00000000" w:rsidRPr="00000000">
        <w:rPr>
          <w:rtl w:val="0"/>
        </w:rPr>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Can you explain more about how it was useful or not useful?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pPr>
      <w:r w:rsidDel="00000000" w:rsidR="00000000" w:rsidRPr="00000000">
        <w:rPr>
          <w:i w:val="1"/>
          <w:rtl w:val="0"/>
        </w:rPr>
        <w:t xml:space="preserve">Do not ask this question, if feedback will be gathered prior to the appointment. </w:t>
      </w:r>
      <w:r w:rsidDel="00000000" w:rsidR="00000000" w:rsidRPr="00000000">
        <w:rPr>
          <w:rtl w:val="0"/>
        </w:rPr>
        <w:t xml:space="preserve">Did the questionnaire have any impact (good or bad) on your appointment experience today?</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Can you explain more about its impact?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Do you have any other feedback about the questionnaire that you would like to share with us?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Thank you for your feedback.</w:t>
      </w:r>
      <w:r w:rsidDel="00000000" w:rsidR="00000000" w:rsidRPr="00000000">
        <w:rPr>
          <w:rtl w:val="0"/>
        </w:rPr>
      </w:r>
    </w:p>
    <w:p w:rsidR="00000000" w:rsidDel="00000000" w:rsidP="00000000" w:rsidRDefault="00000000" w:rsidRPr="00000000" w14:paraId="00000020">
      <w:pPr>
        <w:rPr>
          <w:rFonts w:ascii="Proxima Nova" w:cs="Proxima Nova" w:eastAsia="Proxima Nova" w:hAnsi="Proxima Nov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1"/>
        <w:rPr/>
      </w:pPr>
      <w:bookmarkStart w:colFirst="0" w:colLast="0" w:name="_cjz148cauonr" w:id="2"/>
      <w:bookmarkEnd w:id="2"/>
      <w:r w:rsidDel="00000000" w:rsidR="00000000" w:rsidRPr="00000000">
        <w:rPr>
          <w:rtl w:val="0"/>
        </w:rPr>
        <w:t xml:space="preserve">If the Veteran answers “no” or “I don’t know,” ask the following questions</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Do you remember receiving a text message with a link to a questionnaire or a phone call from this office letting you know that you should be receiving a questionnaire to complete? </w:t>
      </w:r>
      <w:r w:rsidDel="00000000" w:rsidR="00000000" w:rsidRPr="00000000">
        <w:rPr>
          <w:i w:val="1"/>
          <w:rtl w:val="0"/>
        </w:rPr>
        <w:t xml:space="preserve">Circle one of the below answers.</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Yes</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No </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I don’t know.</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If yes, was there a reason that you did not fill out the questionnaire?</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Thank you very much for your feedback.</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Proxima Nova" w:cs="Proxima Nova" w:eastAsia="Proxima Nova" w:hAnsi="Proxima Nov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BM Plex Serif">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urce Sans Pr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Proxima Nova" w:cs="Proxima Nova" w:eastAsia="Proxima Nova" w:hAnsi="Proxima Nova"/>
      <w:b w:val="1"/>
      <w:color w:val="0070bc"/>
      <w:sz w:val="36"/>
      <w:szCs w:val="36"/>
    </w:rPr>
  </w:style>
  <w:style w:type="paragraph" w:styleId="Heading2">
    <w:name w:val="heading 2"/>
    <w:basedOn w:val="Normal"/>
    <w:next w:val="Normal"/>
    <w:pPr>
      <w:keepNext w:val="1"/>
      <w:keepLines w:val="1"/>
    </w:pPr>
    <w:rPr>
      <w:rFonts w:ascii="Proxima Nova" w:cs="Proxima Nova" w:eastAsia="Proxima Nova" w:hAnsi="Proxima Nova"/>
      <w:b w:val="1"/>
      <w:i w:val="1"/>
      <w:color w:val="0070bc"/>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Proxima Nova" w:cs="Proxima Nova" w:eastAsia="Proxima Nova" w:hAnsi="Proxima Nova"/>
      <w:b w:val="1"/>
      <w:color w:val="0070bc"/>
      <w:sz w:val="54"/>
      <w:szCs w:val="54"/>
    </w:rPr>
  </w:style>
  <w:style w:type="paragraph" w:styleId="Subtitle">
    <w:name w:val="Subtitle"/>
    <w:basedOn w:val="Normal"/>
    <w:next w:val="Normal"/>
    <w:pPr>
      <w:keepNext w:val="1"/>
      <w:keepLines w:val="1"/>
      <w:spacing w:after="200" w:line="240" w:lineRule="auto"/>
    </w:pPr>
    <w:rPr>
      <w:rFonts w:ascii="IBM Plex Serif" w:cs="IBM Plex Serif" w:eastAsia="IBM Plex Serif" w:hAnsi="IBM Plex Serif"/>
      <w:i w:val="1"/>
      <w:color w:val="0070bc"/>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SourceSansPro-italic.ttf"/><Relationship Id="rId10" Type="http://schemas.openxmlformats.org/officeDocument/2006/relationships/font" Target="fonts/SourceSansPro-bold.ttf"/><Relationship Id="rId12" Type="http://schemas.openxmlformats.org/officeDocument/2006/relationships/font" Target="fonts/SourceSansPro-boldItalic.ttf"/><Relationship Id="rId9" Type="http://schemas.openxmlformats.org/officeDocument/2006/relationships/font" Target="fonts/SourceSansPro-regular.ttf"/><Relationship Id="rId5" Type="http://schemas.openxmlformats.org/officeDocument/2006/relationships/font" Target="fonts/IBMPlexSerif-regular.ttf"/><Relationship Id="rId6" Type="http://schemas.openxmlformats.org/officeDocument/2006/relationships/font" Target="fonts/IBMPlexSerif-bold.ttf"/><Relationship Id="rId7" Type="http://schemas.openxmlformats.org/officeDocument/2006/relationships/font" Target="fonts/IBMPlexSerif-italic.ttf"/><Relationship Id="rId8" Type="http://schemas.openxmlformats.org/officeDocument/2006/relationships/font" Target="fonts/IBMPlex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