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000000"/>
          <w:sz w:val="52"/>
          <w:szCs w:val="52"/>
        </w:rPr>
      </w:pPr>
      <w:bookmarkStart w:colFirst="0" w:colLast="0" w:name="_heading=h.gjdgxs" w:id="0"/>
      <w:bookmarkEnd w:id="0"/>
      <w:r w:rsidDel="00000000" w:rsidR="00000000" w:rsidRPr="00000000">
        <w:rPr>
          <w:color w:val="000000"/>
          <w:sz w:val="22"/>
          <w:szCs w:val="22"/>
        </w:rPr>
        <w:drawing>
          <wp:inline distB="0" distT="0" distL="0" distR="0">
            <wp:extent cx="4643755" cy="2812415"/>
            <wp:effectExtent b="0" l="0" r="0" t="0"/>
            <wp:docPr descr="Title Banner with VA seal and text reading: VA US Department of Veterans Affairs" id="13" name="image6.png"/>
            <a:graphic>
              <a:graphicData uri="http://schemas.openxmlformats.org/drawingml/2006/picture">
                <pic:pic>
                  <pic:nvPicPr>
                    <pic:cNvPr descr="Title Banner with VA seal and text reading: VA US Department of Veterans Affairs" id="0" name="image6.png"/>
                    <pic:cNvPicPr preferRelativeResize="0"/>
                  </pic:nvPicPr>
                  <pic:blipFill>
                    <a:blip r:embed="rId7"/>
                    <a:srcRect b="0" l="0" r="0" t="0"/>
                    <a:stretch>
                      <a:fillRect/>
                    </a:stretch>
                  </pic:blipFill>
                  <pic:spPr>
                    <a:xfrm>
                      <a:off x="0" y="0"/>
                      <a:ext cx="4643755" cy="28124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sz w:val="32"/>
          <w:szCs w:val="32"/>
          <w:highlight w:val="yellow"/>
        </w:rPr>
      </w:pPr>
      <w:r w:rsidDel="00000000" w:rsidR="00000000" w:rsidRPr="00000000">
        <w:rPr>
          <w:rtl w:val="0"/>
        </w:rPr>
      </w:r>
    </w:p>
    <w:p w:rsidR="00000000" w:rsidDel="00000000" w:rsidP="00000000" w:rsidRDefault="00000000" w:rsidRPr="00000000" w14:paraId="00000003">
      <w:pPr>
        <w:spacing w:line="240" w:lineRule="auto"/>
        <w:rPr>
          <w:b w:val="1"/>
          <w:color w:val="0b5394"/>
          <w:sz w:val="52"/>
          <w:szCs w:val="52"/>
        </w:rPr>
      </w:pPr>
      <w:r w:rsidDel="00000000" w:rsidR="00000000" w:rsidRPr="00000000">
        <w:rPr>
          <w:b w:val="1"/>
          <w:color w:val="0b5394"/>
          <w:sz w:val="52"/>
          <w:szCs w:val="52"/>
          <w:rtl w:val="0"/>
        </w:rPr>
        <w:t xml:space="preserve">VA.gov Sign-In Experience</w:t>
      </w:r>
    </w:p>
    <w:p w:rsidR="00000000" w:rsidDel="00000000" w:rsidP="00000000" w:rsidRDefault="00000000" w:rsidRPr="00000000" w14:paraId="00000004">
      <w:pPr>
        <w:spacing w:line="240" w:lineRule="auto"/>
        <w:rPr>
          <w:sz w:val="32"/>
          <w:szCs w:val="32"/>
        </w:rPr>
      </w:pPr>
      <w:r w:rsidDel="00000000" w:rsidR="00000000" w:rsidRPr="00000000">
        <w:rPr>
          <w:sz w:val="32"/>
          <w:szCs w:val="32"/>
          <w:rtl w:val="0"/>
        </w:rPr>
        <w:t xml:space="preserve">Version 1</w:t>
      </w:r>
    </w:p>
    <w:p w:rsidR="00000000" w:rsidDel="00000000" w:rsidP="00000000" w:rsidRDefault="00000000" w:rsidRPr="00000000" w14:paraId="00000005">
      <w:pPr>
        <w:spacing w:line="240" w:lineRule="auto"/>
        <w:rPr>
          <w:sz w:val="32"/>
          <w:szCs w:val="32"/>
        </w:rPr>
      </w:pPr>
      <w:r w:rsidDel="00000000" w:rsidR="00000000" w:rsidRPr="00000000">
        <w:rPr>
          <w:sz w:val="32"/>
          <w:szCs w:val="32"/>
          <w:highlight w:val="white"/>
          <w:rtl w:val="0"/>
        </w:rPr>
        <w:t xml:space="preserve">Launch: October 31, 2024</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line="240" w:lineRule="auto"/>
        <w:rPr>
          <w:sz w:val="32"/>
          <w:szCs w:val="32"/>
        </w:rPr>
      </w:pPr>
      <w:bookmarkStart w:colFirst="0" w:colLast="0" w:name="_heading=h.30j0zll" w:id="1"/>
      <w:bookmarkEnd w:id="1"/>
      <w:r w:rsidDel="00000000" w:rsidR="00000000" w:rsidRPr="00000000">
        <w:rPr>
          <w:sz w:val="32"/>
          <w:szCs w:val="32"/>
          <w:rtl w:val="0"/>
        </w:rPr>
        <w:t xml:space="preserve">Table of Contents</w:t>
        <w:br w:type="textWrapping"/>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b w:val="1"/>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i w:val="0"/>
                <w:smallCaps w:val="0"/>
                <w:strike w:val="0"/>
                <w:sz w:val="24"/>
                <w:szCs w:val="24"/>
                <w:u w:val="none"/>
                <w:shd w:fill="auto" w:val="clear"/>
                <w:vertAlign w:val="baseline"/>
                <w:rtl w:val="0"/>
              </w:rPr>
              <w:t xml:space="preserve">Overview</w:t>
              <w:tab/>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i w:val="0"/>
              <w:smallCaps w:val="0"/>
              <w:strike w:val="0"/>
              <w:sz w:val="24"/>
              <w:szCs w:val="24"/>
              <w:u w:val="none"/>
              <w:shd w:fill="auto" w:val="clear"/>
              <w:vertAlign w:val="baseline"/>
            </w:rPr>
          </w:pPr>
          <w:hyperlink w:anchor="_heading=h.3znysh7">
            <w:r w:rsidDel="00000000" w:rsidR="00000000" w:rsidRPr="00000000">
              <w:rPr>
                <w:i w:val="0"/>
                <w:smallCaps w:val="0"/>
                <w:strike w:val="0"/>
                <w:sz w:val="24"/>
                <w:szCs w:val="24"/>
                <w:u w:val="none"/>
                <w:shd w:fill="auto" w:val="clear"/>
                <w:vertAlign w:val="baseline"/>
                <w:rtl w:val="0"/>
              </w:rPr>
              <w:t xml:space="preserve">User Access</w:t>
              <w:tab/>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i w:val="0"/>
              <w:smallCaps w:val="0"/>
              <w:strike w:val="0"/>
              <w:sz w:val="24"/>
              <w:szCs w:val="24"/>
              <w:shd w:fill="auto" w:val="clear"/>
              <w:vertAlign w:val="baseline"/>
            </w:rPr>
          </w:pPr>
          <w:hyperlink w:anchor="bookmark=id.7z5g4ys9fhi5">
            <w:r w:rsidDel="00000000" w:rsidR="00000000" w:rsidRPr="00000000">
              <w:rPr>
                <w:i w:val="0"/>
                <w:smallCaps w:val="0"/>
                <w:strike w:val="0"/>
                <w:sz w:val="24"/>
                <w:szCs w:val="24"/>
                <w:shd w:fill="auto" w:val="clear"/>
                <w:vertAlign w:val="baseline"/>
                <w:rtl w:val="0"/>
              </w:rPr>
              <w:t xml:space="preserve">Navigation</w:t>
              <w:tab/>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i w:val="0"/>
              <w:smallCaps w:val="0"/>
              <w:strike w:val="0"/>
              <w:sz w:val="24"/>
              <w:szCs w:val="24"/>
              <w:u w:val="none"/>
              <w:shd w:fill="auto" w:val="clear"/>
              <w:vertAlign w:val="baseline"/>
            </w:rPr>
          </w:pPr>
          <w:hyperlink w:anchor="_heading=h.tyjcwt">
            <w:r w:rsidDel="00000000" w:rsidR="00000000" w:rsidRPr="00000000">
              <w:rPr>
                <w:i w:val="0"/>
                <w:smallCaps w:val="0"/>
                <w:strike w:val="0"/>
                <w:sz w:val="24"/>
                <w:szCs w:val="24"/>
                <w:u w:val="none"/>
                <w:shd w:fill="auto" w:val="clear"/>
                <w:vertAlign w:val="baseline"/>
                <w:rtl w:val="0"/>
              </w:rPr>
              <w:t xml:space="preserve">Paths for each link within the sign-in modal</w:t>
              <w:tab/>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i w:val="0"/>
              <w:smallCaps w:val="0"/>
              <w:strike w:val="0"/>
              <w:sz w:val="24"/>
              <w:szCs w:val="24"/>
              <w:u w:val="none"/>
              <w:shd w:fill="auto" w:val="clear"/>
              <w:vertAlign w:val="baseline"/>
            </w:rPr>
          </w:pPr>
          <w:hyperlink w:anchor="_heading=h.3dy6vkm">
            <w:r w:rsidDel="00000000" w:rsidR="00000000" w:rsidRPr="00000000">
              <w:rPr>
                <w:i w:val="0"/>
                <w:smallCaps w:val="0"/>
                <w:strike w:val="0"/>
                <w:sz w:val="24"/>
                <w:szCs w:val="24"/>
                <w:u w:val="none"/>
                <w:shd w:fill="auto" w:val="clear"/>
                <w:vertAlign w:val="baseline"/>
                <w:rtl w:val="0"/>
              </w:rPr>
              <w:t xml:space="preserve">Common </w:t>
            </w:r>
          </w:hyperlink>
          <w:hyperlink w:anchor="_heading=h.3dy6vkm">
            <w:r w:rsidDel="00000000" w:rsidR="00000000" w:rsidRPr="00000000">
              <w:rPr>
                <w:sz w:val="24"/>
                <w:szCs w:val="24"/>
                <w:rtl w:val="0"/>
              </w:rPr>
              <w:t xml:space="preserve">E</w:t>
            </w:r>
          </w:hyperlink>
          <w:hyperlink w:anchor="_heading=h.3dy6vkm">
            <w:r w:rsidDel="00000000" w:rsidR="00000000" w:rsidRPr="00000000">
              <w:rPr>
                <w:i w:val="0"/>
                <w:smallCaps w:val="0"/>
                <w:strike w:val="0"/>
                <w:sz w:val="24"/>
                <w:szCs w:val="24"/>
                <w:u w:val="none"/>
                <w:shd w:fill="auto" w:val="clear"/>
                <w:vertAlign w:val="baseline"/>
                <w:rtl w:val="0"/>
              </w:rPr>
              <w:t xml:space="preserve">rrors</w:t>
              <w:tab/>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i w:val="0"/>
              <w:smallCaps w:val="0"/>
              <w:strike w:val="0"/>
              <w:sz w:val="24"/>
              <w:szCs w:val="24"/>
              <w:u w:val="none"/>
              <w:shd w:fill="auto" w:val="clear"/>
              <w:vertAlign w:val="baseline"/>
            </w:rPr>
          </w:pPr>
          <w:hyperlink w:anchor="_heading=h.1t3h5sf">
            <w:r w:rsidDel="00000000" w:rsidR="00000000" w:rsidRPr="00000000">
              <w:rPr>
                <w:i w:val="0"/>
                <w:smallCaps w:val="0"/>
                <w:strike w:val="0"/>
                <w:sz w:val="24"/>
                <w:szCs w:val="24"/>
                <w:u w:val="none"/>
                <w:shd w:fill="auto" w:val="clear"/>
                <w:vertAlign w:val="baseline"/>
                <w:rtl w:val="0"/>
              </w:rPr>
              <w:t xml:space="preserve">Additional Resources</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lin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sz w:val="32"/>
          <w:szCs w:val="32"/>
        </w:rPr>
      </w:pPr>
      <w:bookmarkStart w:colFirst="0" w:colLast="0" w:name="_heading=h.1fob9te" w:id="2"/>
      <w:bookmarkEnd w:id="2"/>
      <w:r w:rsidDel="00000000" w:rsidR="00000000" w:rsidRPr="00000000">
        <w:rPr>
          <w:sz w:val="32"/>
          <w:szCs w:val="32"/>
          <w:rtl w:val="0"/>
        </w:rPr>
        <w:t xml:space="preserve">Overview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Sign-in Experience on VA.gov encompasses the end-to-end process of user authentication. We have designed this product area to enable Veterans to quickly and intuitively access essential VA benefits and services. We aim to introduce features and capabilities to guide users through critical points in the sign-in process. Sign-in Experience includes ownership of the Unified Sign-in Page (USiP) and sign-in modal, which offer multiple options for securely accessing VA.gov applications, including Login.gov, ID.me, MyHealtheVet (MHV), and DS Logon.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Two of these options will be made unavailable in 2025. MyHealtheVet will be available through January 31, 2025. DS Logon will be available through September 30, 2025.</w:t>
      </w:r>
    </w:p>
    <w:p w:rsidR="00000000" w:rsidDel="00000000" w:rsidP="00000000" w:rsidRDefault="00000000" w:rsidRPr="00000000" w14:paraId="00000013">
      <w:pPr>
        <w:pStyle w:val="Heading1"/>
        <w:keepNext w:val="0"/>
        <w:keepLines w:val="0"/>
        <w:spacing w:before="280" w:lineRule="auto"/>
        <w:rPr>
          <w:sz w:val="32"/>
          <w:szCs w:val="32"/>
        </w:rPr>
      </w:pPr>
      <w:bookmarkStart w:colFirst="0" w:colLast="0" w:name="_heading=h.3znysh7" w:id="3"/>
      <w:bookmarkEnd w:id="3"/>
      <w:r w:rsidDel="00000000" w:rsidR="00000000" w:rsidRPr="00000000">
        <w:rPr>
          <w:sz w:val="32"/>
          <w:szCs w:val="32"/>
          <w:rtl w:val="0"/>
        </w:rPr>
        <w:t xml:space="preserve">User Access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Users will encounter the Sign-in Experience as the first step toward accessing their personal information and services on VA.gov. This page is open to all users; no prior sign-in is required to see or use the available sign-in options.</w:t>
      </w:r>
    </w:p>
    <w:p w:rsidR="00000000" w:rsidDel="00000000" w:rsidP="00000000" w:rsidRDefault="00000000" w:rsidRPr="00000000" w14:paraId="00000015">
      <w:pPr>
        <w:numPr>
          <w:ilvl w:val="0"/>
          <w:numId w:val="2"/>
        </w:numPr>
        <w:spacing w:after="0" w:before="240" w:lineRule="auto"/>
        <w:ind w:left="720" w:hanging="360"/>
        <w:rPr>
          <w:sz w:val="24"/>
          <w:szCs w:val="24"/>
        </w:rPr>
      </w:pPr>
      <w:r w:rsidDel="00000000" w:rsidR="00000000" w:rsidRPr="00000000">
        <w:rPr>
          <w:b w:val="1"/>
          <w:sz w:val="24"/>
          <w:szCs w:val="24"/>
          <w:rtl w:val="0"/>
        </w:rPr>
        <w:t xml:space="preserve">Login.gov and ID.me</w:t>
      </w:r>
      <w:r w:rsidDel="00000000" w:rsidR="00000000" w:rsidRPr="00000000">
        <w:rPr>
          <w:sz w:val="24"/>
          <w:szCs w:val="24"/>
          <w:rtl w:val="0"/>
        </w:rPr>
        <w:t xml:space="preserve">: Recommended options that provide secure, modern credential access to VA.gov services.</w:t>
      </w:r>
      <w:r w:rsidDel="00000000" w:rsidR="00000000" w:rsidRPr="00000000">
        <w:rPr>
          <w:rtl w:val="0"/>
        </w:rPr>
      </w:r>
    </w:p>
    <w:p w:rsidR="00000000" w:rsidDel="00000000" w:rsidP="00000000" w:rsidRDefault="00000000" w:rsidRPr="00000000" w14:paraId="00000016">
      <w:pPr>
        <w:numPr>
          <w:ilvl w:val="0"/>
          <w:numId w:val="2"/>
        </w:numPr>
        <w:spacing w:after="240" w:before="0" w:lineRule="auto"/>
        <w:ind w:left="720" w:hanging="360"/>
        <w:rPr>
          <w:sz w:val="24"/>
          <w:szCs w:val="24"/>
        </w:rPr>
      </w:pPr>
      <w:r w:rsidDel="00000000" w:rsidR="00000000" w:rsidRPr="00000000">
        <w:rPr>
          <w:b w:val="1"/>
          <w:sz w:val="24"/>
          <w:szCs w:val="24"/>
          <w:rtl w:val="0"/>
        </w:rPr>
        <w:t xml:space="preserve">DS Logon and MHV</w:t>
      </w:r>
      <w:r w:rsidDel="00000000" w:rsidR="00000000" w:rsidRPr="00000000">
        <w:rPr>
          <w:sz w:val="24"/>
          <w:szCs w:val="24"/>
          <w:rtl w:val="0"/>
        </w:rPr>
        <w:t xml:space="preserve">: Alternative options for users with existing accounts using these services are available. Both are being deprecated in 2025.</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Sign-in Experience is designed to be user-friendly, allowing users to select their sign-in method and gain access to their VA benefits and services via VA.gov. The goal is to ensure users can access all necessary information quickly and securely.</w:t>
      </w:r>
    </w:p>
    <w:p w:rsidR="00000000" w:rsidDel="00000000" w:rsidP="00000000" w:rsidRDefault="00000000" w:rsidRPr="00000000" w14:paraId="00000018">
      <w:pPr>
        <w:spacing w:after="240" w:before="240" w:lineRule="auto"/>
        <w:rPr/>
      </w:pPr>
      <w:r w:rsidDel="00000000" w:rsidR="00000000" w:rsidRPr="00000000">
        <w:rPr/>
        <w:drawing>
          <wp:inline distB="114300" distT="114300" distL="114300" distR="114300">
            <wp:extent cx="5262563" cy="7677843"/>
            <wp:effectExtent b="0" l="0" r="0" t="0"/>
            <wp:docPr id="15" name="image12.png"/>
            <a:graphic>
              <a:graphicData uri="http://schemas.openxmlformats.org/drawingml/2006/picture">
                <pic:pic>
                  <pic:nvPicPr>
                    <pic:cNvPr id="0" name="image12.png"/>
                    <pic:cNvPicPr preferRelativeResize="0"/>
                  </pic:nvPicPr>
                  <pic:blipFill>
                    <a:blip r:embed="rId8"/>
                    <a:srcRect b="13535" l="33713" r="37757" t="8833"/>
                    <a:stretch>
                      <a:fillRect/>
                    </a:stretch>
                  </pic:blipFill>
                  <pic:spPr>
                    <a:xfrm>
                      <a:off x="0" y="0"/>
                      <a:ext cx="5262563" cy="767784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i w:val="1"/>
          <w:sz w:val="18"/>
          <w:szCs w:val="18"/>
        </w:rPr>
      </w:pPr>
      <w:r w:rsidDel="00000000" w:rsidR="00000000" w:rsidRPr="00000000">
        <w:rPr>
          <w:i w:val="1"/>
          <w:sz w:val="18"/>
          <w:szCs w:val="18"/>
          <w:rtl w:val="0"/>
        </w:rPr>
        <w:t xml:space="preserve">Fig. 1: The current VA.gov sign-in modal.</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176838" cy="7559188"/>
            <wp:effectExtent b="0" l="0" r="0" t="0"/>
            <wp:docPr id="14" name="image5.png"/>
            <a:graphic>
              <a:graphicData uri="http://schemas.openxmlformats.org/drawingml/2006/picture">
                <pic:pic>
                  <pic:nvPicPr>
                    <pic:cNvPr id="0" name="image5.png"/>
                    <pic:cNvPicPr preferRelativeResize="0"/>
                  </pic:nvPicPr>
                  <pic:blipFill>
                    <a:blip r:embed="rId9"/>
                    <a:srcRect b="10880" l="32852" r="36538" t="5520"/>
                    <a:stretch>
                      <a:fillRect/>
                    </a:stretch>
                  </pic:blipFill>
                  <pic:spPr>
                    <a:xfrm>
                      <a:off x="0" y="0"/>
                      <a:ext cx="5176838" cy="75591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i w:val="1"/>
          <w:sz w:val="18"/>
          <w:szCs w:val="18"/>
          <w:rtl w:val="0"/>
        </w:rPr>
        <w:t xml:space="preserve">Fig. 2: The updated VA.gov sign-in modal will alert users of the upcoming MyHealtheVet and DS Logon changes.</w:t>
        <w:br w:type="textWrapping"/>
      </w:r>
      <w:r w:rsidDel="00000000" w:rsidR="00000000" w:rsidRPr="00000000">
        <w:br w:type="page"/>
      </w:r>
      <w:r w:rsidDel="00000000" w:rsidR="00000000" w:rsidRPr="00000000">
        <w:rPr>
          <w:rtl w:val="0"/>
        </w:rPr>
      </w:r>
    </w:p>
    <w:bookmarkStart w:colFirst="0" w:colLast="0" w:name="bookmark=id.7z5g4ys9fhi5" w:id="4"/>
    <w:bookmarkEnd w:id="4"/>
    <w:p w:rsidR="00000000" w:rsidDel="00000000" w:rsidP="00000000" w:rsidRDefault="00000000" w:rsidRPr="00000000" w14:paraId="0000001C">
      <w:pPr>
        <w:spacing w:after="240" w:before="240" w:lineRule="auto"/>
        <w:rPr>
          <w:sz w:val="32"/>
          <w:szCs w:val="32"/>
        </w:rPr>
      </w:pPr>
      <w:r w:rsidDel="00000000" w:rsidR="00000000" w:rsidRPr="00000000">
        <w:rPr>
          <w:sz w:val="32"/>
          <w:szCs w:val="32"/>
          <w:rtl w:val="0"/>
        </w:rPr>
        <w:t xml:space="preserve">Navigation</w:t>
      </w:r>
    </w:p>
    <w:p w:rsidR="00000000" w:rsidDel="00000000" w:rsidP="00000000" w:rsidRDefault="00000000" w:rsidRPr="00000000" w14:paraId="0000001D">
      <w:pPr>
        <w:pStyle w:val="Heading2"/>
        <w:rPr>
          <w:sz w:val="24"/>
          <w:szCs w:val="24"/>
        </w:rPr>
      </w:pPr>
      <w:bookmarkStart w:colFirst="0" w:colLast="0" w:name="_heading=h.tyjcwt" w:id="5"/>
      <w:bookmarkEnd w:id="5"/>
      <w:r w:rsidDel="00000000" w:rsidR="00000000" w:rsidRPr="00000000">
        <w:rPr>
          <w:sz w:val="24"/>
          <w:szCs w:val="24"/>
          <w:rtl w:val="0"/>
        </w:rPr>
        <w:t xml:space="preserve">The following are paths for each link within the sign-in modal:</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Link</w:t>
            </w:r>
          </w:p>
        </w:tc>
      </w:tr>
      <w:tr>
        <w:trPr>
          <w:cantSplit w:val="0"/>
          <w:trHeight w:val="168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1847850" cy="368300"/>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36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Login.gov is a secure sign-in service the public uses to sign in to participating government agencies. Login.gov is provided by Technology Transformation Services (TTS).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4"/>
                <w:szCs w:val="24"/>
              </w:rPr>
            </w:pPr>
            <w:hyperlink r:id="rId11">
              <w:r w:rsidDel="00000000" w:rsidR="00000000" w:rsidRPr="00000000">
                <w:rPr>
                  <w:sz w:val="24"/>
                  <w:szCs w:val="24"/>
                  <w:u w:val="single"/>
                  <w:rtl w:val="0"/>
                </w:rPr>
                <w:t xml:space="preserve">https://secure.login.gov/</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1847850" cy="29210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47850" cy="29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ID.me is an online identity network. Users can verify their identity with ID.me once and seamlessly sign in across websites without creating a new sign-in or verifying their identity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4"/>
                <w:szCs w:val="24"/>
              </w:rPr>
            </w:pPr>
            <w:hyperlink r:id="rId13">
              <w:r w:rsidDel="00000000" w:rsidR="00000000" w:rsidRPr="00000000">
                <w:rPr>
                  <w:sz w:val="24"/>
                  <w:szCs w:val="24"/>
                  <w:u w:val="single"/>
                  <w:rtl w:val="0"/>
                </w:rPr>
                <w:t xml:space="preserve">https://api.id.me/en/session/new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1847850" cy="342900"/>
                  <wp:effectExtent b="0" l="0" r="0" t="0"/>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47850" cy="342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My HealtheVet is a Credential Service Provider (CSP) and VA's Personal Health Record for Veterans, service members, their ca</w:t>
            </w:r>
            <w:r w:rsidDel="00000000" w:rsidR="00000000" w:rsidRPr="00000000">
              <w:rPr>
                <w:sz w:val="24"/>
                <w:szCs w:val="24"/>
                <w:rtl w:val="0"/>
              </w:rPr>
              <w:t xml:space="preserve">regivers, and others. Available through February 1,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4"/>
                <w:szCs w:val="24"/>
              </w:rPr>
            </w:pPr>
            <w:hyperlink r:id="rId15">
              <w:r w:rsidDel="00000000" w:rsidR="00000000" w:rsidRPr="00000000">
                <w:rPr>
                  <w:sz w:val="24"/>
                  <w:szCs w:val="24"/>
                  <w:u w:val="single"/>
                  <w:rtl w:val="0"/>
                </w:rPr>
                <w:t xml:space="preserve">https://mhvidp-prod.myhealth.va.gov/mhv-portal-web/web/guest/home?p_p_state=maximized&amp;p_p_mode=view&amp;saveLastPath=false&amp;_58_struts_action=%2Flogin%2Flogin&amp;p_p_id=58&amp;p_p_lifecycle=0&amp;_58_redirect=%2Fmhv-portal-web%2Fc%2Fportal%2Fsaml%2Fsso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1847850" cy="304800"/>
                  <wp:effectExtent b="0" l="0" r="0" t="0"/>
                  <wp:docPr id="1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4785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DS Logon is a Credential Service Provider (CSP) hosted in the Defense Manpower Data Center (DMDC).</w:t>
            </w:r>
            <w:r w:rsidDel="00000000" w:rsidR="00000000" w:rsidRPr="00000000">
              <w:rPr>
                <w:i w:val="1"/>
                <w:sz w:val="24"/>
                <w:szCs w:val="24"/>
                <w:rtl w:val="0"/>
              </w:rPr>
              <w:t xml:space="preserve"> </w:t>
            </w:r>
            <w:r w:rsidDel="00000000" w:rsidR="00000000" w:rsidRPr="00000000">
              <w:rPr>
                <w:sz w:val="24"/>
                <w:szCs w:val="24"/>
                <w:rtl w:val="0"/>
              </w:rPr>
              <w:t xml:space="preserve">Available through September 30,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4"/>
                <w:szCs w:val="24"/>
              </w:rPr>
            </w:pPr>
            <w:hyperlink r:id="rId17">
              <w:r w:rsidDel="00000000" w:rsidR="00000000" w:rsidRPr="00000000">
                <w:rPr>
                  <w:sz w:val="24"/>
                  <w:szCs w:val="24"/>
                  <w:u w:val="single"/>
                  <w:rtl w:val="0"/>
                </w:rPr>
                <w:t xml:space="preserve">https://myaccess.dmdc.osd.mil/identitymanagement/app/login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1847850" cy="190500"/>
                  <wp:effectExtent b="0" l="0" r="0" t="0"/>
                  <wp:docPr id="2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84785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Learn more about 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4"/>
                <w:szCs w:val="24"/>
              </w:rPr>
            </w:pPr>
            <w:hyperlink r:id="rId19">
              <w:r w:rsidDel="00000000" w:rsidR="00000000" w:rsidRPr="00000000">
                <w:rPr>
                  <w:sz w:val="24"/>
                  <w:szCs w:val="24"/>
                  <w:u w:val="single"/>
                  <w:rtl w:val="0"/>
                </w:rPr>
                <w:t xml:space="preserve">https://www.va.gov/resources/creating-an-account-for-vagov/</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1847850" cy="266700"/>
                  <wp:effectExtent b="0" l="0" r="0" t="0"/>
                  <wp:docPr id="2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84785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an account with Login.gov.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4"/>
                <w:szCs w:val="24"/>
              </w:rPr>
            </w:pPr>
            <w:hyperlink r:id="rId21">
              <w:r w:rsidDel="00000000" w:rsidR="00000000" w:rsidRPr="00000000">
                <w:rPr>
                  <w:sz w:val="24"/>
                  <w:szCs w:val="24"/>
                  <w:u w:val="single"/>
                  <w:rtl w:val="0"/>
                </w:rPr>
                <w:t xml:space="preserve">https://secure.login.gov/</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1847850" cy="279400"/>
                  <wp:effectExtent b="0" l="0" r="0" t="0"/>
                  <wp:docPr id="2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847850" cy="279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an account with ID.me.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4"/>
                <w:szCs w:val="24"/>
              </w:rPr>
            </w:pPr>
            <w:hyperlink r:id="rId23">
              <w:r w:rsidDel="00000000" w:rsidR="00000000" w:rsidRPr="00000000">
                <w:rPr>
                  <w:sz w:val="24"/>
                  <w:szCs w:val="24"/>
                  <w:u w:val="single"/>
                  <w:rtl w:val="0"/>
                </w:rPr>
                <w:t xml:space="preserve">https://api.id.me/en/session/new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42925" cy="257175"/>
                  <wp:effectExtent b="0" l="0" r="0" t="0"/>
                  <wp:docPr id="2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429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Links to a help article about signing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4"/>
                <w:szCs w:val="24"/>
              </w:rPr>
            </w:pPr>
            <w:hyperlink r:id="rId25">
              <w:r w:rsidDel="00000000" w:rsidR="00000000" w:rsidRPr="00000000">
                <w:rPr>
                  <w:sz w:val="24"/>
                  <w:szCs w:val="24"/>
                  <w:u w:val="single"/>
                  <w:rtl w:val="0"/>
                </w:rPr>
                <w:t xml:space="preserve">https://www.va.gov/resources/signing-in-to-vagov/</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1638300" cy="276225"/>
                  <wp:effectExtent b="0" l="0" r="0" t="0"/>
                  <wp:docPr id="2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1638300" cy="276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Links to a help article about verifying</w:t>
              <w:br w:type="textWrapping"/>
              <w:t xml:space="preserve">your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4"/>
                <w:szCs w:val="24"/>
              </w:rPr>
            </w:pPr>
            <w:hyperlink r:id="rId27">
              <w:r w:rsidDel="00000000" w:rsidR="00000000" w:rsidRPr="00000000">
                <w:rPr>
                  <w:sz w:val="24"/>
                  <w:szCs w:val="24"/>
                  <w:u w:val="single"/>
                  <w:rtl w:val="0"/>
                </w:rPr>
                <w:t xml:space="preserve">https://www.va.gov/resources/verifying-your-identity-on-vagov/</w:t>
              </w:r>
            </w:hyperlink>
            <w:r w:rsidDel="00000000" w:rsidR="00000000" w:rsidRPr="00000000">
              <w:rPr>
                <w:rtl w:val="0"/>
              </w:rPr>
            </w:r>
          </w:p>
        </w:tc>
      </w:tr>
    </w:tbl>
    <w:p w:rsidR="00000000" w:rsidDel="00000000" w:rsidP="00000000" w:rsidRDefault="00000000" w:rsidRPr="00000000" w14:paraId="0000003D">
      <w:pPr>
        <w:pStyle w:val="Heading1"/>
        <w:spacing w:after="240" w:before="240" w:lineRule="auto"/>
        <w:rPr>
          <w:sz w:val="32"/>
          <w:szCs w:val="32"/>
        </w:rPr>
      </w:pPr>
      <w:bookmarkStart w:colFirst="0" w:colLast="0" w:name="_heading=h.3dy6vkm" w:id="6"/>
      <w:bookmarkEnd w:id="6"/>
      <w:r w:rsidDel="00000000" w:rsidR="00000000" w:rsidRPr="00000000">
        <w:rPr>
          <w:sz w:val="32"/>
          <w:szCs w:val="32"/>
          <w:rtl w:val="0"/>
        </w:rPr>
        <w:br w:type="textWrapping"/>
        <w:t xml:space="preserve">Common Errors</w:t>
      </w:r>
    </w:p>
    <w:p w:rsidR="00000000" w:rsidDel="00000000" w:rsidP="00000000" w:rsidRDefault="00000000" w:rsidRPr="00000000" w14:paraId="0000003E">
      <w:pPr>
        <w:rPr>
          <w:sz w:val="24"/>
          <w:szCs w:val="24"/>
        </w:rPr>
      </w:pPr>
      <w:r w:rsidDel="00000000" w:rsidR="00000000" w:rsidRPr="00000000">
        <w:rPr>
          <w:sz w:val="24"/>
          <w:szCs w:val="24"/>
          <w:rtl w:val="0"/>
        </w:rPr>
        <w:t xml:space="preserve">Although there are no technical changes that should cause additional errors, the following table catalogs errors Veterans might encounter when attempting to authenticate when signing in to their accounts. We have provided a detailed list of common errors and their potential causes to help you troubleshoot any issues you may encounter during the sign-in process.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Additional context can be found at </w:t>
      </w:r>
      <w:hyperlink r:id="rId28">
        <w:r w:rsidDel="00000000" w:rsidR="00000000" w:rsidRPr="00000000">
          <w:rPr>
            <w:sz w:val="24"/>
            <w:szCs w:val="24"/>
            <w:u w:val="single"/>
            <w:rtl w:val="0"/>
          </w:rPr>
          <w:t xml:space="preserve">Login Errors</w:t>
        </w:r>
      </w:hyperlink>
      <w:r w:rsidDel="00000000" w:rsidR="00000000" w:rsidRPr="00000000">
        <w:rPr>
          <w:sz w:val="24"/>
          <w:szCs w:val="24"/>
          <w:rtl w:val="0"/>
        </w:rPr>
        <w:t xml:space="preserve">.</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pPr w:leftFromText="180" w:rightFromText="180" w:topFromText="180" w:bottomFromText="180" w:vertAnchor="text" w:horzAnchor="text" w:tblpX="0" w:tblpY="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385"/>
        <w:gridCol w:w="2655"/>
        <w:tblGridChange w:id="0">
          <w:tblGrid>
            <w:gridCol w:w="1380"/>
            <w:gridCol w:w="5385"/>
            <w:gridCol w:w="2655"/>
          </w:tblGrid>
        </w:tblGridChange>
      </w:tblGrid>
      <w:tr>
        <w:trPr>
          <w:cantSplit w:val="0"/>
          <w:tblHeader w:val="0"/>
        </w:trPr>
        <w:tc>
          <w:tcPr>
            <w:tcBorders>
              <w:bottom w:color="1f2328" w:space="0" w:sz="8" w:val="single"/>
            </w:tcBorders>
          </w:tcPr>
          <w:p w:rsidR="00000000" w:rsidDel="00000000" w:rsidP="00000000" w:rsidRDefault="00000000" w:rsidRPr="00000000" w14:paraId="00000043">
            <w:pPr>
              <w:widowControl w:val="0"/>
              <w:spacing w:line="240" w:lineRule="auto"/>
              <w:jc w:val="center"/>
              <w:rPr>
                <w:b w:val="1"/>
                <w:sz w:val="24"/>
                <w:szCs w:val="24"/>
              </w:rPr>
            </w:pPr>
            <w:r w:rsidDel="00000000" w:rsidR="00000000" w:rsidRPr="00000000">
              <w:rPr>
                <w:b w:val="1"/>
                <w:sz w:val="24"/>
                <w:szCs w:val="24"/>
                <w:rtl w:val="0"/>
              </w:rPr>
              <w:t xml:space="preserve">Error Code</w:t>
            </w:r>
          </w:p>
        </w:tc>
        <w:tc>
          <w:tcPr>
            <w:tcBorders>
              <w:bottom w:color="1f2328" w:space="0" w:sz="8" w:val="single"/>
            </w:tcBorders>
          </w:tcPr>
          <w:p w:rsidR="00000000" w:rsidDel="00000000" w:rsidP="00000000" w:rsidRDefault="00000000" w:rsidRPr="00000000" w14:paraId="00000044">
            <w:pPr>
              <w:widowControl w:val="0"/>
              <w:spacing w:line="240" w:lineRule="auto"/>
              <w:jc w:val="center"/>
              <w:rPr>
                <w:b w:val="1"/>
                <w:sz w:val="24"/>
                <w:szCs w:val="24"/>
              </w:rPr>
            </w:pPr>
            <w:r w:rsidDel="00000000" w:rsidR="00000000" w:rsidRPr="00000000">
              <w:rPr>
                <w:b w:val="1"/>
                <w:sz w:val="24"/>
                <w:szCs w:val="24"/>
                <w:rtl w:val="0"/>
              </w:rPr>
              <w:t xml:space="preserve">Title</w:t>
            </w:r>
          </w:p>
        </w:tc>
        <w:tc>
          <w:tcPr>
            <w:tcBorders>
              <w:bottom w:color="1f2328" w:space="0" w:sz="8" w:val="single"/>
            </w:tcBorders>
          </w:tcPr>
          <w:p w:rsidR="00000000" w:rsidDel="00000000" w:rsidP="00000000" w:rsidRDefault="00000000" w:rsidRPr="00000000" w14:paraId="00000045">
            <w:pPr>
              <w:widowControl w:val="0"/>
              <w:spacing w:line="240" w:lineRule="auto"/>
              <w:jc w:val="center"/>
              <w:rPr>
                <w:b w:val="1"/>
                <w:sz w:val="24"/>
                <w:szCs w:val="24"/>
              </w:rPr>
            </w:pPr>
            <w:r w:rsidDel="00000000" w:rsidR="00000000" w:rsidRPr="00000000">
              <w:rPr>
                <w:b w:val="1"/>
                <w:sz w:val="24"/>
                <w:szCs w:val="24"/>
                <w:rtl w:val="0"/>
              </w:rPr>
              <w:t xml:space="preserve">URL with</w:t>
              <w:br w:type="textWrapping"/>
              <w:t xml:space="preserve">more details</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001</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Authorization denied by user</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8">
            <w:pPr>
              <w:widowControl w:val="0"/>
              <w:spacing w:line="240" w:lineRule="auto"/>
              <w:rPr>
                <w:sz w:val="24"/>
                <w:szCs w:val="24"/>
              </w:rPr>
            </w:pPr>
            <w:hyperlink r:id="rId29">
              <w:r w:rsidDel="00000000" w:rsidR="00000000" w:rsidRPr="00000000">
                <w:rPr>
                  <w:sz w:val="24"/>
                  <w:szCs w:val="24"/>
                  <w:u w:val="single"/>
                  <w:rtl w:val="0"/>
                </w:rPr>
                <w:t xml:space="preserve">Error 001</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002</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The user is auto-logged out after signing in (incorrect system time).</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B">
            <w:pPr>
              <w:widowControl w:val="0"/>
              <w:spacing w:line="240" w:lineRule="auto"/>
              <w:rPr>
                <w:sz w:val="24"/>
                <w:szCs w:val="24"/>
              </w:rPr>
            </w:pPr>
            <w:hyperlink r:id="rId30">
              <w:r w:rsidDel="00000000" w:rsidR="00000000" w:rsidRPr="00000000">
                <w:rPr>
                  <w:sz w:val="24"/>
                  <w:szCs w:val="24"/>
                  <w:u w:val="single"/>
                  <w:rtl w:val="0"/>
                </w:rPr>
                <w:t xml:space="preserve">Error 002</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003</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API server time is incorrect</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E">
            <w:pPr>
              <w:widowControl w:val="0"/>
              <w:spacing w:line="240" w:lineRule="auto"/>
              <w:rPr>
                <w:sz w:val="24"/>
                <w:szCs w:val="24"/>
              </w:rPr>
            </w:pPr>
            <w:hyperlink r:id="rId31">
              <w:r w:rsidDel="00000000" w:rsidR="00000000" w:rsidRPr="00000000">
                <w:rPr>
                  <w:sz w:val="24"/>
                  <w:szCs w:val="24"/>
                  <w:u w:val="single"/>
                  <w:rtl w:val="0"/>
                </w:rPr>
                <w:t xml:space="preserve">Error 003</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004</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MPI mismatch</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1">
            <w:pPr>
              <w:widowControl w:val="0"/>
              <w:spacing w:line="240" w:lineRule="auto"/>
              <w:rPr>
                <w:sz w:val="24"/>
                <w:szCs w:val="24"/>
              </w:rPr>
            </w:pPr>
            <w:hyperlink r:id="rId32">
              <w:r w:rsidDel="00000000" w:rsidR="00000000" w:rsidRPr="00000000">
                <w:rPr>
                  <w:sz w:val="24"/>
                  <w:szCs w:val="24"/>
                  <w:u w:val="single"/>
                  <w:rtl w:val="0"/>
                </w:rPr>
                <w:t xml:space="preserve">Error 004</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005</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Session expired</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4">
            <w:pPr>
              <w:widowControl w:val="0"/>
              <w:spacing w:line="240" w:lineRule="auto"/>
              <w:rPr>
                <w:sz w:val="24"/>
                <w:szCs w:val="24"/>
              </w:rPr>
            </w:pPr>
            <w:hyperlink r:id="rId33">
              <w:r w:rsidDel="00000000" w:rsidR="00000000" w:rsidRPr="00000000">
                <w:rPr>
                  <w:sz w:val="24"/>
                  <w:szCs w:val="24"/>
                  <w:u w:val="single"/>
                  <w:rtl w:val="0"/>
                </w:rPr>
                <w:t xml:space="preserve">Error 005</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007</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Default/unknown error</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7">
            <w:pPr>
              <w:widowControl w:val="0"/>
              <w:spacing w:line="240" w:lineRule="auto"/>
              <w:rPr>
                <w:sz w:val="24"/>
                <w:szCs w:val="24"/>
              </w:rPr>
            </w:pPr>
            <w:hyperlink r:id="rId34">
              <w:r w:rsidDel="00000000" w:rsidR="00000000" w:rsidRPr="00000000">
                <w:rPr>
                  <w:sz w:val="24"/>
                  <w:szCs w:val="24"/>
                  <w:u w:val="single"/>
                  <w:rtl w:val="0"/>
                </w:rPr>
                <w:t xml:space="preserve">Error 007</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009</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Failure to proof (Login.gov)</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A">
            <w:pPr>
              <w:widowControl w:val="0"/>
              <w:spacing w:line="240" w:lineRule="auto"/>
              <w:rPr>
                <w:sz w:val="24"/>
                <w:szCs w:val="24"/>
              </w:rPr>
            </w:pPr>
            <w:hyperlink r:id="rId35">
              <w:r w:rsidDel="00000000" w:rsidR="00000000" w:rsidRPr="00000000">
                <w:rPr>
                  <w:sz w:val="24"/>
                  <w:szCs w:val="24"/>
                  <w:u w:val="single"/>
                  <w:rtl w:val="0"/>
                </w:rPr>
                <w:t xml:space="preserve">Error 009</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101</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Multiple MHV IDs (MHV IENs)</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D">
            <w:pPr>
              <w:widowControl w:val="0"/>
              <w:spacing w:line="240" w:lineRule="auto"/>
              <w:rPr>
                <w:sz w:val="24"/>
                <w:szCs w:val="24"/>
              </w:rPr>
            </w:pPr>
            <w:hyperlink r:id="rId36">
              <w:r w:rsidDel="00000000" w:rsidR="00000000" w:rsidRPr="00000000">
                <w:rPr>
                  <w:sz w:val="24"/>
                  <w:szCs w:val="24"/>
                  <w:u w:val="single"/>
                  <w:rtl w:val="0"/>
                </w:rPr>
                <w:t xml:space="preserve">Error 101</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102</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Multiple EDIPIs</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0">
            <w:pPr>
              <w:widowControl w:val="0"/>
              <w:spacing w:line="240" w:lineRule="auto"/>
              <w:rPr>
                <w:sz w:val="24"/>
                <w:szCs w:val="24"/>
              </w:rPr>
            </w:pPr>
            <w:hyperlink r:id="rId37">
              <w:r w:rsidDel="00000000" w:rsidR="00000000" w:rsidRPr="00000000">
                <w:rPr>
                  <w:sz w:val="24"/>
                  <w:szCs w:val="24"/>
                  <w:u w:val="single"/>
                  <w:rtl w:val="0"/>
                </w:rPr>
                <w:t xml:space="preserve">Error 102</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103</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ICN mismatch</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3">
            <w:pPr>
              <w:widowControl w:val="0"/>
              <w:spacing w:line="240" w:lineRule="auto"/>
              <w:rPr>
                <w:sz w:val="24"/>
                <w:szCs w:val="24"/>
              </w:rPr>
            </w:pPr>
            <w:hyperlink r:id="rId38">
              <w:r w:rsidDel="00000000" w:rsidR="00000000" w:rsidRPr="00000000">
                <w:rPr>
                  <w:sz w:val="24"/>
                  <w:szCs w:val="24"/>
                  <w:u w:val="single"/>
                  <w:rtl w:val="0"/>
                </w:rPr>
                <w:t xml:space="preserve">Error 103</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104</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UUID missing</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6">
            <w:pPr>
              <w:widowControl w:val="0"/>
              <w:spacing w:line="240" w:lineRule="auto"/>
              <w:rPr>
                <w:sz w:val="24"/>
                <w:szCs w:val="24"/>
              </w:rPr>
            </w:pPr>
            <w:hyperlink r:id="rId39">
              <w:r w:rsidDel="00000000" w:rsidR="00000000" w:rsidRPr="00000000">
                <w:rPr>
                  <w:sz w:val="24"/>
                  <w:szCs w:val="24"/>
                  <w:u w:val="single"/>
                  <w:rtl w:val="0"/>
                </w:rPr>
                <w:t xml:space="preserve">Error 104</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106</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Multiple Corp IDs</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9">
            <w:pPr>
              <w:widowControl w:val="0"/>
              <w:spacing w:line="240" w:lineRule="auto"/>
              <w:rPr>
                <w:sz w:val="24"/>
                <w:szCs w:val="24"/>
              </w:rPr>
            </w:pPr>
            <w:hyperlink r:id="rId40">
              <w:r w:rsidDel="00000000" w:rsidR="00000000" w:rsidRPr="00000000">
                <w:rPr>
                  <w:sz w:val="24"/>
                  <w:szCs w:val="24"/>
                  <w:u w:val="single"/>
                  <w:rtl w:val="0"/>
                </w:rPr>
                <w:t xml:space="preserve">Error 106</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108</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MHV verification error</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C">
            <w:pPr>
              <w:widowControl w:val="0"/>
              <w:spacing w:line="240" w:lineRule="auto"/>
              <w:rPr>
                <w:sz w:val="24"/>
                <w:szCs w:val="24"/>
              </w:rPr>
            </w:pPr>
            <w:hyperlink r:id="rId41">
              <w:r w:rsidDel="00000000" w:rsidR="00000000" w:rsidRPr="00000000">
                <w:rPr>
                  <w:sz w:val="24"/>
                  <w:szCs w:val="24"/>
                  <w:u w:val="single"/>
                  <w:rtl w:val="0"/>
                </w:rPr>
                <w:t xml:space="preserve">Error 108</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110</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Terms of use—Provisioning failure</w:t>
              <w:br w:type="textWrapping"/>
              <w:t xml:space="preserve">(Oracle Health)</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6F">
            <w:pPr>
              <w:widowControl w:val="0"/>
              <w:spacing w:line="240" w:lineRule="auto"/>
              <w:rPr>
                <w:sz w:val="24"/>
                <w:szCs w:val="24"/>
              </w:rPr>
            </w:pPr>
            <w:hyperlink r:id="rId42">
              <w:r w:rsidDel="00000000" w:rsidR="00000000" w:rsidRPr="00000000">
                <w:rPr>
                  <w:sz w:val="24"/>
                  <w:szCs w:val="24"/>
                  <w:u w:val="single"/>
                  <w:rtl w:val="0"/>
                </w:rPr>
                <w:t xml:space="preserve">Error 110</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111</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Terms of use—User not eligible</w:t>
              <w:br w:type="textWrapping"/>
              <w:t xml:space="preserve">(Oracle Health)</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2">
            <w:pPr>
              <w:widowControl w:val="0"/>
              <w:spacing w:line="240" w:lineRule="auto"/>
              <w:rPr>
                <w:sz w:val="24"/>
                <w:szCs w:val="24"/>
              </w:rPr>
            </w:pPr>
            <w:hyperlink r:id="rId43">
              <w:r w:rsidDel="00000000" w:rsidR="00000000" w:rsidRPr="00000000">
                <w:rPr>
                  <w:sz w:val="24"/>
                  <w:szCs w:val="24"/>
                  <w:u w:val="single"/>
                  <w:rtl w:val="0"/>
                </w:rPr>
                <w:t xml:space="preserve">Error 111</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112</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Terms of use—Provisioning failure (MHV)</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5">
            <w:pPr>
              <w:widowControl w:val="0"/>
              <w:spacing w:line="240" w:lineRule="auto"/>
              <w:rPr>
                <w:sz w:val="24"/>
                <w:szCs w:val="24"/>
              </w:rPr>
            </w:pPr>
            <w:hyperlink r:id="rId44">
              <w:r w:rsidDel="00000000" w:rsidR="00000000" w:rsidRPr="00000000">
                <w:rPr>
                  <w:sz w:val="24"/>
                  <w:szCs w:val="24"/>
                  <w:u w:val="single"/>
                  <w:rtl w:val="0"/>
                </w:rPr>
                <w:t xml:space="preserve">Error 112</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201</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Default/unknown OAuth error</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8">
            <w:pPr>
              <w:widowControl w:val="0"/>
              <w:spacing w:line="240" w:lineRule="auto"/>
              <w:rPr>
                <w:sz w:val="24"/>
                <w:szCs w:val="24"/>
              </w:rPr>
            </w:pPr>
            <w:hyperlink r:id="rId45">
              <w:r w:rsidDel="00000000" w:rsidR="00000000" w:rsidRPr="00000000">
                <w:rPr>
                  <w:sz w:val="24"/>
                  <w:szCs w:val="24"/>
                  <w:u w:val="single"/>
                  <w:rtl w:val="0"/>
                </w:rPr>
                <w:t xml:space="preserve">Error 201</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202</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State mismatch (OAuth)</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B">
            <w:pPr>
              <w:widowControl w:val="0"/>
              <w:spacing w:line="240" w:lineRule="auto"/>
              <w:rPr>
                <w:sz w:val="24"/>
                <w:szCs w:val="24"/>
              </w:rPr>
            </w:pPr>
            <w:hyperlink r:id="rId46">
              <w:r w:rsidDel="00000000" w:rsidR="00000000" w:rsidRPr="00000000">
                <w:rPr>
                  <w:sz w:val="24"/>
                  <w:szCs w:val="24"/>
                  <w:u w:val="single"/>
                  <w:rtl w:val="0"/>
                </w:rPr>
                <w:t xml:space="preserve">Error 202</w:t>
              </w:r>
            </w:hyperlink>
            <w:r w:rsidDel="00000000" w:rsidR="00000000" w:rsidRPr="00000000">
              <w:rPr>
                <w:rtl w:val="0"/>
              </w:rPr>
            </w:r>
          </w:p>
        </w:tc>
      </w:tr>
      <w:tr>
        <w:trPr>
          <w:cantSplit w:val="0"/>
          <w:tblHeader w:val="0"/>
        </w:trPr>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203</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Invalid request (OAuth)</w:t>
            </w:r>
          </w:p>
        </w:tc>
        <w:tc>
          <w:tcPr>
            <w:tcBorders>
              <w:top w:color="1f2328" w:space="0" w:sz="8" w:val="single"/>
              <w:left w:color="1f2328" w:space="0" w:sz="8" w:val="single"/>
              <w:bottom w:color="1f2328" w:space="0" w:sz="8" w:val="single"/>
              <w:right w:color="1f2328" w:space="0" w:sz="8" w:val="single"/>
            </w:tcBorders>
            <w:tcMar>
              <w:left w:w="200.0" w:type="dxa"/>
              <w:right w:w="200.0" w:type="dxa"/>
            </w:tcMar>
          </w:tcPr>
          <w:p w:rsidR="00000000" w:rsidDel="00000000" w:rsidP="00000000" w:rsidRDefault="00000000" w:rsidRPr="00000000" w14:paraId="0000007E">
            <w:pPr>
              <w:widowControl w:val="0"/>
              <w:spacing w:line="240" w:lineRule="auto"/>
              <w:rPr>
                <w:sz w:val="24"/>
                <w:szCs w:val="24"/>
              </w:rPr>
            </w:pPr>
            <w:hyperlink r:id="rId47">
              <w:r w:rsidDel="00000000" w:rsidR="00000000" w:rsidRPr="00000000">
                <w:rPr>
                  <w:sz w:val="24"/>
                  <w:szCs w:val="24"/>
                  <w:u w:val="single"/>
                  <w:rtl w:val="0"/>
                </w:rPr>
                <w:t xml:space="preserve">Error 203</w:t>
              </w:r>
            </w:hyperlink>
            <w:r w:rsidDel="00000000" w:rsidR="00000000" w:rsidRPr="00000000">
              <w:rPr>
                <w:rtl w:val="0"/>
              </w:rPr>
            </w:r>
          </w:p>
        </w:tc>
      </w:tr>
    </w:tbl>
    <w:p w:rsidR="00000000" w:rsidDel="00000000" w:rsidP="00000000" w:rsidRDefault="00000000" w:rsidRPr="00000000" w14:paraId="0000007F">
      <w:pPr>
        <w:pStyle w:val="Heading1"/>
        <w:spacing w:after="240" w:before="240" w:lineRule="auto"/>
        <w:rPr>
          <w:b w:val="1"/>
          <w:sz w:val="32"/>
          <w:szCs w:val="32"/>
        </w:rPr>
      </w:pPr>
      <w:bookmarkStart w:colFirst="0" w:colLast="0" w:name="_heading=h.5c66sk53d5tr" w:id="7"/>
      <w:bookmarkEnd w:id="7"/>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240" w:before="240" w:lineRule="auto"/>
        <w:rPr>
          <w:b w:val="1"/>
          <w:sz w:val="46"/>
          <w:szCs w:val="46"/>
        </w:rPr>
      </w:pPr>
      <w:bookmarkStart w:colFirst="0" w:colLast="0" w:name="_heading=h.1t3h5sf" w:id="8"/>
      <w:bookmarkEnd w:id="8"/>
      <w:r w:rsidDel="00000000" w:rsidR="00000000" w:rsidRPr="00000000">
        <w:rPr>
          <w:b w:val="1"/>
          <w:sz w:val="32"/>
          <w:szCs w:val="32"/>
          <w:rtl w:val="0"/>
        </w:rPr>
        <w:t xml:space="preserve">Additional Resources</w:t>
      </w:r>
      <w:r w:rsidDel="00000000" w:rsidR="00000000" w:rsidRPr="00000000">
        <w:rPr>
          <w:rtl w:val="0"/>
        </w:rPr>
      </w:r>
    </w:p>
    <w:p w:rsidR="00000000" w:rsidDel="00000000" w:rsidP="00000000" w:rsidRDefault="00000000" w:rsidRPr="00000000" w14:paraId="00000081">
      <w:pPr>
        <w:numPr>
          <w:ilvl w:val="0"/>
          <w:numId w:val="1"/>
        </w:numPr>
        <w:spacing w:after="0" w:before="240" w:lineRule="auto"/>
        <w:ind w:left="720" w:hanging="360"/>
        <w:rPr>
          <w:sz w:val="24"/>
          <w:szCs w:val="24"/>
        </w:rPr>
      </w:pPr>
      <w:r w:rsidDel="00000000" w:rsidR="00000000" w:rsidRPr="00000000">
        <w:rPr>
          <w:sz w:val="24"/>
          <w:szCs w:val="24"/>
          <w:rtl w:val="0"/>
        </w:rPr>
        <w:t xml:space="preserve">Account Creation</w:t>
      </w:r>
      <w:r w:rsidDel="00000000" w:rsidR="00000000" w:rsidRPr="00000000">
        <w:rPr>
          <w:rtl w:val="0"/>
        </w:rPr>
      </w:r>
    </w:p>
    <w:p w:rsidR="00000000" w:rsidDel="00000000" w:rsidP="00000000" w:rsidRDefault="00000000" w:rsidRPr="00000000" w14:paraId="00000082">
      <w:pPr>
        <w:numPr>
          <w:ilvl w:val="1"/>
          <w:numId w:val="1"/>
        </w:numPr>
        <w:spacing w:after="0" w:before="0" w:lineRule="auto"/>
        <w:ind w:left="1440" w:hanging="360"/>
        <w:rPr>
          <w:sz w:val="24"/>
          <w:szCs w:val="24"/>
        </w:rPr>
      </w:pPr>
      <w:hyperlink r:id="rId48">
        <w:r w:rsidDel="00000000" w:rsidR="00000000" w:rsidRPr="00000000">
          <w:rPr>
            <w:sz w:val="24"/>
            <w:szCs w:val="24"/>
            <w:u w:val="single"/>
            <w:rtl w:val="0"/>
          </w:rPr>
          <w:t xml:space="preserve">How to create a Login.gov account </w:t>
        </w:r>
      </w:hyperlink>
      <w:r w:rsidDel="00000000" w:rsidR="00000000" w:rsidRPr="00000000">
        <w:rPr>
          <w:rtl w:val="0"/>
        </w:rPr>
      </w:r>
    </w:p>
    <w:p w:rsidR="00000000" w:rsidDel="00000000" w:rsidP="00000000" w:rsidRDefault="00000000" w:rsidRPr="00000000" w14:paraId="00000083">
      <w:pPr>
        <w:numPr>
          <w:ilvl w:val="1"/>
          <w:numId w:val="1"/>
        </w:numPr>
        <w:spacing w:after="0" w:before="0" w:lineRule="auto"/>
        <w:ind w:left="1440" w:hanging="360"/>
        <w:rPr>
          <w:sz w:val="24"/>
          <w:szCs w:val="24"/>
        </w:rPr>
      </w:pPr>
      <w:hyperlink r:id="rId49">
        <w:r w:rsidDel="00000000" w:rsidR="00000000" w:rsidRPr="00000000">
          <w:rPr>
            <w:sz w:val="24"/>
            <w:szCs w:val="24"/>
            <w:u w:val="single"/>
            <w:rtl w:val="0"/>
          </w:rPr>
          <w:t xml:space="preserve">How to create an ID.me account</w:t>
        </w:r>
      </w:hyperlink>
      <w:r w:rsidDel="00000000" w:rsidR="00000000" w:rsidRPr="00000000">
        <w:rPr>
          <w:rtl w:val="0"/>
        </w:rPr>
      </w:r>
    </w:p>
    <w:p w:rsidR="00000000" w:rsidDel="00000000" w:rsidP="00000000" w:rsidRDefault="00000000" w:rsidRPr="00000000" w14:paraId="00000084">
      <w:pPr>
        <w:numPr>
          <w:ilvl w:val="0"/>
          <w:numId w:val="1"/>
        </w:numPr>
        <w:spacing w:after="0" w:before="0" w:lineRule="auto"/>
        <w:ind w:left="720" w:hanging="360"/>
        <w:rPr>
          <w:sz w:val="24"/>
          <w:szCs w:val="24"/>
        </w:rPr>
      </w:pPr>
      <w:hyperlink r:id="rId50">
        <w:r w:rsidDel="00000000" w:rsidR="00000000" w:rsidRPr="00000000">
          <w:rPr>
            <w:sz w:val="24"/>
            <w:szCs w:val="24"/>
            <w:u w:val="single"/>
            <w:rtl w:val="0"/>
          </w:rPr>
          <w:t xml:space="preserve">Step-by-step signing in</w:t>
        </w:r>
      </w:hyperlink>
      <w:r w:rsidDel="00000000" w:rsidR="00000000" w:rsidRPr="00000000">
        <w:rPr>
          <w:rtl w:val="0"/>
        </w:rPr>
      </w:r>
    </w:p>
    <w:p w:rsidR="00000000" w:rsidDel="00000000" w:rsidP="00000000" w:rsidRDefault="00000000" w:rsidRPr="00000000" w14:paraId="00000085">
      <w:pPr>
        <w:numPr>
          <w:ilvl w:val="0"/>
          <w:numId w:val="1"/>
        </w:numPr>
        <w:spacing w:after="0" w:before="0" w:lineRule="auto"/>
        <w:ind w:left="720" w:hanging="360"/>
        <w:rPr>
          <w:sz w:val="24"/>
          <w:szCs w:val="24"/>
        </w:rPr>
      </w:pPr>
      <w:hyperlink r:id="rId51">
        <w:r w:rsidDel="00000000" w:rsidR="00000000" w:rsidRPr="00000000">
          <w:rPr>
            <w:sz w:val="24"/>
            <w:szCs w:val="24"/>
            <w:u w:val="single"/>
            <w:rtl w:val="0"/>
          </w:rPr>
          <w:t xml:space="preserve">What is account verification, and why is it important?</w:t>
        </w:r>
      </w:hyperlink>
      <w:r w:rsidDel="00000000" w:rsidR="00000000" w:rsidRPr="00000000">
        <w:rPr>
          <w:rtl w:val="0"/>
        </w:rPr>
      </w:r>
    </w:p>
    <w:p w:rsidR="00000000" w:rsidDel="00000000" w:rsidP="00000000" w:rsidRDefault="00000000" w:rsidRPr="00000000" w14:paraId="00000086">
      <w:pPr>
        <w:numPr>
          <w:ilvl w:val="1"/>
          <w:numId w:val="1"/>
        </w:numPr>
        <w:spacing w:after="0" w:before="0" w:lineRule="auto"/>
        <w:ind w:left="1440" w:hanging="360"/>
        <w:rPr>
          <w:sz w:val="24"/>
          <w:szCs w:val="24"/>
        </w:rPr>
      </w:pPr>
      <w:hyperlink r:id="rId52">
        <w:r w:rsidDel="00000000" w:rsidR="00000000" w:rsidRPr="00000000">
          <w:rPr>
            <w:sz w:val="24"/>
            <w:szCs w:val="24"/>
            <w:u w:val="single"/>
            <w:rtl w:val="0"/>
          </w:rPr>
          <w:t xml:space="preserve">How to verify your Login.gov account</w:t>
        </w:r>
      </w:hyperlink>
      <w:r w:rsidDel="00000000" w:rsidR="00000000" w:rsidRPr="00000000">
        <w:rPr>
          <w:rtl w:val="0"/>
        </w:rPr>
      </w:r>
    </w:p>
    <w:p w:rsidR="00000000" w:rsidDel="00000000" w:rsidP="00000000" w:rsidRDefault="00000000" w:rsidRPr="00000000" w14:paraId="00000087">
      <w:pPr>
        <w:numPr>
          <w:ilvl w:val="1"/>
          <w:numId w:val="1"/>
        </w:numPr>
        <w:spacing w:after="0" w:before="0" w:lineRule="auto"/>
        <w:ind w:left="1440" w:hanging="360"/>
        <w:rPr>
          <w:sz w:val="24"/>
          <w:szCs w:val="24"/>
        </w:rPr>
      </w:pPr>
      <w:hyperlink r:id="rId53">
        <w:r w:rsidDel="00000000" w:rsidR="00000000" w:rsidRPr="00000000">
          <w:rPr>
            <w:sz w:val="24"/>
            <w:szCs w:val="24"/>
            <w:u w:val="single"/>
            <w:rtl w:val="0"/>
          </w:rPr>
          <w:t xml:space="preserve">How to verify your ID.me account</w:t>
        </w:r>
      </w:hyperlink>
      <w:r w:rsidDel="00000000" w:rsidR="00000000" w:rsidRPr="00000000">
        <w:rPr>
          <w:rtl w:val="0"/>
        </w:rPr>
      </w:r>
    </w:p>
    <w:p w:rsidR="00000000" w:rsidDel="00000000" w:rsidP="00000000" w:rsidRDefault="00000000" w:rsidRPr="00000000" w14:paraId="00000088">
      <w:pPr>
        <w:numPr>
          <w:ilvl w:val="0"/>
          <w:numId w:val="1"/>
        </w:numPr>
        <w:spacing w:after="0" w:before="0" w:lineRule="auto"/>
        <w:ind w:left="720" w:hanging="360"/>
        <w:rPr>
          <w:sz w:val="24"/>
          <w:szCs w:val="24"/>
        </w:rPr>
      </w:pPr>
      <w:hyperlink r:id="rId54">
        <w:r w:rsidDel="00000000" w:rsidR="00000000" w:rsidRPr="00000000">
          <w:rPr>
            <w:sz w:val="24"/>
            <w:szCs w:val="24"/>
            <w:u w:val="single"/>
            <w:rtl w:val="0"/>
          </w:rPr>
          <w:t xml:space="preserve">Various levels of account verification</w:t>
        </w:r>
      </w:hyperlink>
      <w:r w:rsidDel="00000000" w:rsidR="00000000" w:rsidRPr="00000000">
        <w:rPr>
          <w:rtl w:val="0"/>
        </w:rPr>
      </w:r>
    </w:p>
    <w:p w:rsidR="00000000" w:rsidDel="00000000" w:rsidP="00000000" w:rsidRDefault="00000000" w:rsidRPr="00000000" w14:paraId="00000089">
      <w:pPr>
        <w:numPr>
          <w:ilvl w:val="1"/>
          <w:numId w:val="1"/>
        </w:numPr>
        <w:spacing w:after="240" w:before="0" w:lineRule="auto"/>
        <w:ind w:left="1440" w:hanging="360"/>
        <w:rPr>
          <w:sz w:val="24"/>
          <w:szCs w:val="24"/>
        </w:rPr>
      </w:pPr>
      <w:hyperlink r:id="rId55">
        <w:r w:rsidDel="00000000" w:rsidR="00000000" w:rsidRPr="00000000">
          <w:rPr>
            <w:sz w:val="24"/>
            <w:szCs w:val="24"/>
            <w:u w:val="single"/>
            <w:rtl w:val="0"/>
          </w:rPr>
          <w:t xml:space="preserve">NIST guidelines on identity proofing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va.gov/auth/login/callback/?auth=fail&amp;code=106" TargetMode="External"/><Relationship Id="rId42" Type="http://schemas.openxmlformats.org/officeDocument/2006/relationships/hyperlink" Target="https://dev.va.gov/auth/login/callback/?auth=fail&amp;code=110" TargetMode="External"/><Relationship Id="rId41" Type="http://schemas.openxmlformats.org/officeDocument/2006/relationships/hyperlink" Target="https://dev.va.gov/auth/login/callback/?auth=fail&amp;code=108" TargetMode="External"/><Relationship Id="rId44" Type="http://schemas.openxmlformats.org/officeDocument/2006/relationships/hyperlink" Target="https://dev.va.gov/auth/login/callback/?auth=fail&amp;code=112" TargetMode="External"/><Relationship Id="rId43" Type="http://schemas.openxmlformats.org/officeDocument/2006/relationships/hyperlink" Target="https://dev.va.gov/auth/login/callback/?auth=fail&amp;code=111" TargetMode="External"/><Relationship Id="rId46" Type="http://schemas.openxmlformats.org/officeDocument/2006/relationships/hyperlink" Target="https://dev.va.gov/auth/login/callback/?auth=fail&amp;code=202" TargetMode="External"/><Relationship Id="rId45" Type="http://schemas.openxmlformats.org/officeDocument/2006/relationships/hyperlink" Target="https://dev.va.gov/auth/login/callback/?auth=fail&amp;code=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www.va.gov/resources/how-to-create-a-logingov-account-for-va/" TargetMode="External"/><Relationship Id="rId47" Type="http://schemas.openxmlformats.org/officeDocument/2006/relationships/hyperlink" Target="https://dev.va.gov/auth/login/callback/?auth=fail&amp;code=203" TargetMode="External"/><Relationship Id="rId49" Type="http://schemas.openxmlformats.org/officeDocument/2006/relationships/hyperlink" Target="https://www.va.gov/resources/how-to-create-an-idme-account-for-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2.png"/><Relationship Id="rId31" Type="http://schemas.openxmlformats.org/officeDocument/2006/relationships/hyperlink" Target="https://dev.va.gov/auth/login/callback/?auth=fail&amp;code=003" TargetMode="External"/><Relationship Id="rId30" Type="http://schemas.openxmlformats.org/officeDocument/2006/relationships/hyperlink" Target="https://dev.va.gov/auth/login/callback/?auth=fail&amp;code=002" TargetMode="External"/><Relationship Id="rId33" Type="http://schemas.openxmlformats.org/officeDocument/2006/relationships/hyperlink" Target="https://dev.va.gov/auth/login/callback/?auth=fail&amp;code=005" TargetMode="External"/><Relationship Id="rId32" Type="http://schemas.openxmlformats.org/officeDocument/2006/relationships/hyperlink" Target="https://dev.va.gov/auth/login/callback/?auth=fail&amp;code=004" TargetMode="External"/><Relationship Id="rId35" Type="http://schemas.openxmlformats.org/officeDocument/2006/relationships/hyperlink" Target="https://dev.va.gov/auth/login/callback/?auth=fail&amp;code=009" TargetMode="External"/><Relationship Id="rId34" Type="http://schemas.openxmlformats.org/officeDocument/2006/relationships/hyperlink" Target="https://dev.va.gov/auth/login/callback/?auth=fail&amp;code=007" TargetMode="External"/><Relationship Id="rId37" Type="http://schemas.openxmlformats.org/officeDocument/2006/relationships/hyperlink" Target="https://dev.va.gov/auth/login/callback/?auth=fail&amp;code=102" TargetMode="External"/><Relationship Id="rId36" Type="http://schemas.openxmlformats.org/officeDocument/2006/relationships/hyperlink" Target="https://dev.va.gov/auth/login/callback/?auth=fail&amp;code=101" TargetMode="External"/><Relationship Id="rId39" Type="http://schemas.openxmlformats.org/officeDocument/2006/relationships/hyperlink" Target="https://dev.va.gov/auth/login/callback/?auth=fail&amp;code=104" TargetMode="External"/><Relationship Id="rId38" Type="http://schemas.openxmlformats.org/officeDocument/2006/relationships/hyperlink" Target="https://dev.va.gov/auth/login/callback/?auth=fail&amp;code=103" TargetMode="External"/><Relationship Id="rId20" Type="http://schemas.openxmlformats.org/officeDocument/2006/relationships/image" Target="media/image7.png"/><Relationship Id="rId22" Type="http://schemas.openxmlformats.org/officeDocument/2006/relationships/image" Target="media/image8.png"/><Relationship Id="rId21" Type="http://schemas.openxmlformats.org/officeDocument/2006/relationships/hyperlink" Target="https://secure.login.gov/" TargetMode="External"/><Relationship Id="rId24" Type="http://schemas.openxmlformats.org/officeDocument/2006/relationships/image" Target="media/image11.png"/><Relationship Id="rId23" Type="http://schemas.openxmlformats.org/officeDocument/2006/relationships/hyperlink" Target="https://api.id.me/en/session/new" TargetMode="External"/><Relationship Id="rId26" Type="http://schemas.openxmlformats.org/officeDocument/2006/relationships/image" Target="media/image9.png"/><Relationship Id="rId25" Type="http://schemas.openxmlformats.org/officeDocument/2006/relationships/hyperlink" Target="https://www.va.gov/resources/signing-in-to-vagov/" TargetMode="External"/><Relationship Id="rId28" Type="http://schemas.openxmlformats.org/officeDocument/2006/relationships/hyperlink" Target="https://github.com/department-of-veterans-affairs/va.gov-team/blob/master/products/identity/login/error-messages/sign-in-error-handling.md" TargetMode="External"/><Relationship Id="rId27" Type="http://schemas.openxmlformats.org/officeDocument/2006/relationships/hyperlink" Target="https://www.va.gov/resources/verifying-your-identity-on-vagov/" TargetMode="External"/><Relationship Id="rId29" Type="http://schemas.openxmlformats.org/officeDocument/2006/relationships/hyperlink" Target="https://github.com/department-of-veterans-affairs/va.gov-team/blob/master/products/identity/Troubleshooting_logging/Authentication_Errors/001.md" TargetMode="External"/><Relationship Id="rId51" Type="http://schemas.openxmlformats.org/officeDocument/2006/relationships/hyperlink" Target="https://www.va.gov/resources/what-does-it-mean-to-verify-my-identity-and-why-do-i-have-to-do-it/" TargetMode="External"/><Relationship Id="rId50" Type="http://schemas.openxmlformats.org/officeDocument/2006/relationships/hyperlink" Target="https://www.va.gov/resources/signing-in-to-vagov/" TargetMode="External"/><Relationship Id="rId53" Type="http://schemas.openxmlformats.org/officeDocument/2006/relationships/hyperlink" Target="https://www.va.gov/resources/how-to-verify-your-identity-for-your-idme-account/" TargetMode="External"/><Relationship Id="rId52" Type="http://schemas.openxmlformats.org/officeDocument/2006/relationships/hyperlink" Target="https://www.va.gov/resources/how-to-verify-your-identity-for-your-logingov-account/" TargetMode="External"/><Relationship Id="rId11" Type="http://schemas.openxmlformats.org/officeDocument/2006/relationships/hyperlink" Target="https://secure.login.gov/" TargetMode="External"/><Relationship Id="rId55" Type="http://schemas.openxmlformats.org/officeDocument/2006/relationships/hyperlink" Target="https://nvlpubs.nist.gov/nistpubs/SpecialPublications/NIST.SP.800-63a.pdf" TargetMode="External"/><Relationship Id="rId10" Type="http://schemas.openxmlformats.org/officeDocument/2006/relationships/image" Target="media/image1.png"/><Relationship Id="rId54" Type="http://schemas.openxmlformats.org/officeDocument/2006/relationships/hyperlink" Target="https://github.com/department-of-veterans-affairs/va.gov-team/tree/master/products/identity#understanding-verified-identity" TargetMode="External"/><Relationship Id="rId13" Type="http://schemas.openxmlformats.org/officeDocument/2006/relationships/hyperlink" Target="https://api.id.me/en/session/new" TargetMode="External"/><Relationship Id="rId12" Type="http://schemas.openxmlformats.org/officeDocument/2006/relationships/image" Target="media/image4.png"/><Relationship Id="rId15" Type="http://schemas.openxmlformats.org/officeDocument/2006/relationships/hyperlink" Target="https://mhvidp-prod.myhealth.va.gov/mhv-portal-web/web/guest/home?p_p_state=maximized&amp;p_p_mode=view&amp;saveLastPath=false&amp;_58_struts_action=%2Flogin%2Flogin&amp;p_p_id=58&amp;p_p_lifecycle=0&amp;_58_redirect=%2Fmhv-portal-web%2Fc%2Fportal%2Fsaml%2Fsso" TargetMode="External"/><Relationship Id="rId14" Type="http://schemas.openxmlformats.org/officeDocument/2006/relationships/image" Target="media/image10.png"/><Relationship Id="rId17" Type="http://schemas.openxmlformats.org/officeDocument/2006/relationships/hyperlink" Target="https://myaccess.dmdc.osd.mil/identitymanagement/app/login" TargetMode="External"/><Relationship Id="rId16" Type="http://schemas.openxmlformats.org/officeDocument/2006/relationships/image" Target="media/image2.png"/><Relationship Id="rId19" Type="http://schemas.openxmlformats.org/officeDocument/2006/relationships/hyperlink" Target="https://www.va.gov/resources/creating-an-account-for-vagov/"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yzQSF+nEK6YKVKfB/DZow89Jg==">CgMxLjAyCGguZ2pkZ3hzMgloLjMwajB6bGwyCWguMWZvYjl0ZTIJaC4zem55c2g3Mg9pZC43ejVnNHlzOWZoaTUyCGgudHlqY3d0MgloLjNkeTZ2a20yDmguNWM2NnNrNTNkNXRyMgloLjF0M2g1c2Y4AHIhMVRtTHAyVjN0c0FxUnNOeEtPejJZYURieWpQR3Q4bkh1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