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5EFA2" w14:textId="16C5748F" w:rsidR="00C26D17" w:rsidRDefault="00081964" w:rsidP="00F96D5E">
      <w:pPr>
        <w:pStyle w:val="TOC1"/>
        <w:ind w:left="0" w:firstLine="0"/>
        <w:rPr>
          <w:rFonts w:eastAsiaTheme="minorEastAsia" w:cstheme="minorBidi"/>
          <w:b w:val="0"/>
          <w:bCs w:val="0"/>
          <w:caps w:val="0"/>
          <w:noProof/>
          <w:sz w:val="22"/>
          <w:szCs w:val="22"/>
        </w:rPr>
      </w:pPr>
      <w:r>
        <w:rPr>
          <w:rFonts w:asciiTheme="majorHAnsi" w:eastAsiaTheme="majorEastAsia" w:hAnsiTheme="majorHAnsi" w:cstheme="majorBidi"/>
          <w:color w:val="000000" w:themeColor="text1"/>
          <w:sz w:val="32"/>
          <w:szCs w:val="32"/>
        </w:rPr>
        <w:fldChar w:fldCharType="begin"/>
      </w:r>
      <w:r>
        <w:rPr>
          <w:rFonts w:asciiTheme="majorHAnsi" w:eastAsiaTheme="majorEastAsia" w:hAnsiTheme="majorHAnsi" w:cstheme="majorBidi"/>
          <w:color w:val="000000" w:themeColor="text1"/>
          <w:sz w:val="32"/>
          <w:szCs w:val="32"/>
        </w:rPr>
        <w:instrText xml:space="preserve"> TOC \o "1-3" \h \z \u </w:instrText>
      </w:r>
      <w:r>
        <w:rPr>
          <w:rFonts w:asciiTheme="majorHAnsi" w:eastAsiaTheme="majorEastAsia" w:hAnsiTheme="majorHAnsi" w:cstheme="majorBidi"/>
          <w:color w:val="000000" w:themeColor="text1"/>
          <w:sz w:val="32"/>
          <w:szCs w:val="32"/>
        </w:rPr>
        <w:fldChar w:fldCharType="separate"/>
      </w:r>
    </w:p>
    <w:p w14:paraId="7242E791" w14:textId="39F2820C" w:rsidR="00081964" w:rsidRDefault="00081964">
      <w:pPr>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fldChar w:fldCharType="end"/>
      </w:r>
      <w:r w:rsidR="004D4839">
        <w:rPr>
          <w:rFonts w:asciiTheme="majorHAnsi" w:eastAsiaTheme="majorEastAsia" w:hAnsiTheme="majorHAnsi" w:cstheme="majorBidi"/>
          <w:b/>
          <w:bCs/>
          <w:color w:val="000000" w:themeColor="text1"/>
          <w:sz w:val="32"/>
          <w:szCs w:val="32"/>
        </w:rPr>
        <w:t xml:space="preserve">Delegation and Patient Portals – IAM response to Team Connect Pain Points Review </w:t>
      </w:r>
    </w:p>
    <w:p w14:paraId="30954032" w14:textId="77777777" w:rsidR="006C49A6" w:rsidRDefault="006C49A6">
      <w:pPr>
        <w:rPr>
          <w:rFonts w:asciiTheme="majorHAnsi" w:eastAsiaTheme="majorEastAsia" w:hAnsiTheme="majorHAnsi" w:cstheme="majorBidi"/>
          <w:b/>
          <w:bCs/>
          <w:color w:val="000000" w:themeColor="text1"/>
        </w:rPr>
      </w:pPr>
      <w:r>
        <w:rPr>
          <w:rFonts w:asciiTheme="majorHAnsi" w:eastAsiaTheme="majorEastAsia" w:hAnsiTheme="majorHAnsi" w:cstheme="majorBidi"/>
          <w:b/>
          <w:bCs/>
          <w:color w:val="000000" w:themeColor="text1"/>
        </w:rPr>
        <w:t xml:space="preserve">Version 1.0 </w:t>
      </w:r>
    </w:p>
    <w:p w14:paraId="024BD357" w14:textId="07A34192" w:rsidR="004D4839" w:rsidRDefault="004F5613">
      <w:pPr>
        <w:rPr>
          <w:rFonts w:asciiTheme="majorHAnsi" w:eastAsiaTheme="majorEastAsia" w:hAnsiTheme="majorHAnsi" w:cstheme="majorBidi"/>
          <w:b/>
          <w:bCs/>
          <w:color w:val="000000" w:themeColor="text1"/>
        </w:rPr>
      </w:pPr>
      <w:r>
        <w:rPr>
          <w:rFonts w:asciiTheme="majorHAnsi" w:eastAsiaTheme="majorEastAsia" w:hAnsiTheme="majorHAnsi" w:cstheme="majorBidi"/>
          <w:b/>
          <w:bCs/>
          <w:color w:val="000000" w:themeColor="text1"/>
        </w:rPr>
        <w:t>Jun 25</w:t>
      </w:r>
      <w:r w:rsidR="00F96D5E">
        <w:rPr>
          <w:rFonts w:asciiTheme="majorHAnsi" w:eastAsiaTheme="majorEastAsia" w:hAnsiTheme="majorHAnsi" w:cstheme="majorBidi"/>
          <w:b/>
          <w:bCs/>
          <w:color w:val="000000" w:themeColor="text1"/>
        </w:rPr>
        <w:t>, 2021</w:t>
      </w:r>
    </w:p>
    <w:p w14:paraId="1D17368A" w14:textId="77777777" w:rsidR="006C49A6" w:rsidRPr="006C49A6" w:rsidRDefault="006C49A6">
      <w:pPr>
        <w:rPr>
          <w:rFonts w:asciiTheme="majorHAnsi" w:eastAsiaTheme="majorEastAsia" w:hAnsiTheme="majorHAnsi" w:cstheme="majorBidi"/>
          <w:b/>
          <w:bCs/>
          <w:color w:val="000000" w:themeColor="text1"/>
        </w:rPr>
      </w:pPr>
    </w:p>
    <w:p w14:paraId="3F5FDE0D" w14:textId="3DE386DC" w:rsidR="006F171D" w:rsidRDefault="004D4839">
      <w:pPr>
        <w:pStyle w:val="TOC1"/>
        <w:rPr>
          <w:rFonts w:eastAsiaTheme="minorEastAsia" w:cstheme="minorBidi"/>
          <w:b w:val="0"/>
          <w:bCs w:val="0"/>
          <w:caps w:val="0"/>
          <w:noProof/>
          <w:sz w:val="22"/>
          <w:szCs w:val="22"/>
        </w:rPr>
      </w:pPr>
      <w:r>
        <w:rPr>
          <w:rFonts w:asciiTheme="majorHAnsi" w:eastAsiaTheme="majorEastAsia" w:hAnsiTheme="majorHAnsi" w:cstheme="majorBidi"/>
          <w:color w:val="000000" w:themeColor="text1"/>
          <w:sz w:val="32"/>
          <w:szCs w:val="32"/>
        </w:rPr>
        <w:fldChar w:fldCharType="begin"/>
      </w:r>
      <w:r>
        <w:rPr>
          <w:rFonts w:asciiTheme="majorHAnsi" w:eastAsiaTheme="majorEastAsia" w:hAnsiTheme="majorHAnsi" w:cstheme="majorBidi"/>
          <w:color w:val="000000" w:themeColor="text1"/>
          <w:sz w:val="32"/>
          <w:szCs w:val="32"/>
        </w:rPr>
        <w:instrText xml:space="preserve"> TOC \o "1-3" \h \z \u </w:instrText>
      </w:r>
      <w:r>
        <w:rPr>
          <w:rFonts w:asciiTheme="majorHAnsi" w:eastAsiaTheme="majorEastAsia" w:hAnsiTheme="majorHAnsi" w:cstheme="majorBidi"/>
          <w:color w:val="000000" w:themeColor="text1"/>
          <w:sz w:val="32"/>
          <w:szCs w:val="32"/>
        </w:rPr>
        <w:fldChar w:fldCharType="separate"/>
      </w:r>
      <w:hyperlink w:anchor="_Toc75534659" w:history="1">
        <w:r w:rsidR="006F171D" w:rsidRPr="00436B74">
          <w:rPr>
            <w:rStyle w:val="Hyperlink"/>
            <w:noProof/>
          </w:rPr>
          <w:t>I.</w:t>
        </w:r>
        <w:r w:rsidR="006F171D">
          <w:rPr>
            <w:rFonts w:eastAsiaTheme="minorEastAsia" w:cstheme="minorBidi"/>
            <w:b w:val="0"/>
            <w:bCs w:val="0"/>
            <w:caps w:val="0"/>
            <w:noProof/>
            <w:sz w:val="22"/>
            <w:szCs w:val="22"/>
          </w:rPr>
          <w:tab/>
        </w:r>
        <w:r w:rsidR="006F171D" w:rsidRPr="00436B74">
          <w:rPr>
            <w:rStyle w:val="Hyperlink"/>
            <w:noProof/>
          </w:rPr>
          <w:t>INTRODUCTION</w:t>
        </w:r>
        <w:r w:rsidR="006F171D">
          <w:rPr>
            <w:noProof/>
            <w:webHidden/>
          </w:rPr>
          <w:tab/>
        </w:r>
        <w:r w:rsidR="006F171D">
          <w:rPr>
            <w:noProof/>
            <w:webHidden/>
          </w:rPr>
          <w:fldChar w:fldCharType="begin"/>
        </w:r>
        <w:r w:rsidR="006F171D">
          <w:rPr>
            <w:noProof/>
            <w:webHidden/>
          </w:rPr>
          <w:instrText xml:space="preserve"> PAGEREF _Toc75534659 \h </w:instrText>
        </w:r>
        <w:r w:rsidR="006F171D">
          <w:rPr>
            <w:noProof/>
            <w:webHidden/>
          </w:rPr>
        </w:r>
        <w:r w:rsidR="006F171D">
          <w:rPr>
            <w:noProof/>
            <w:webHidden/>
          </w:rPr>
          <w:fldChar w:fldCharType="separate"/>
        </w:r>
        <w:r w:rsidR="006F171D">
          <w:rPr>
            <w:noProof/>
            <w:webHidden/>
          </w:rPr>
          <w:t>1</w:t>
        </w:r>
        <w:r w:rsidR="006F171D">
          <w:rPr>
            <w:noProof/>
            <w:webHidden/>
          </w:rPr>
          <w:fldChar w:fldCharType="end"/>
        </w:r>
      </w:hyperlink>
    </w:p>
    <w:p w14:paraId="5BD6624D" w14:textId="47309744" w:rsidR="006F171D" w:rsidRDefault="00AC7B53">
      <w:pPr>
        <w:pStyle w:val="TOC1"/>
        <w:rPr>
          <w:rFonts w:eastAsiaTheme="minorEastAsia" w:cstheme="minorBidi"/>
          <w:b w:val="0"/>
          <w:bCs w:val="0"/>
          <w:caps w:val="0"/>
          <w:noProof/>
          <w:sz w:val="22"/>
          <w:szCs w:val="22"/>
        </w:rPr>
      </w:pPr>
      <w:hyperlink w:anchor="_Toc75534660" w:history="1">
        <w:r w:rsidR="006F171D" w:rsidRPr="00436B74">
          <w:rPr>
            <w:rStyle w:val="Hyperlink"/>
            <w:noProof/>
          </w:rPr>
          <w:t>II.</w:t>
        </w:r>
        <w:r w:rsidR="006F171D">
          <w:rPr>
            <w:rFonts w:eastAsiaTheme="minorEastAsia" w:cstheme="minorBidi"/>
            <w:b w:val="0"/>
            <w:bCs w:val="0"/>
            <w:caps w:val="0"/>
            <w:noProof/>
            <w:sz w:val="22"/>
            <w:szCs w:val="22"/>
          </w:rPr>
          <w:tab/>
        </w:r>
        <w:r w:rsidR="006F171D" w:rsidRPr="00436B74">
          <w:rPr>
            <w:rStyle w:val="Hyperlink"/>
            <w:noProof/>
          </w:rPr>
          <w:t>IAM Response and Recommendations</w:t>
        </w:r>
        <w:r w:rsidR="006F171D">
          <w:rPr>
            <w:noProof/>
            <w:webHidden/>
          </w:rPr>
          <w:tab/>
        </w:r>
        <w:r w:rsidR="006F171D">
          <w:rPr>
            <w:noProof/>
            <w:webHidden/>
          </w:rPr>
          <w:fldChar w:fldCharType="begin"/>
        </w:r>
        <w:r w:rsidR="006F171D">
          <w:rPr>
            <w:noProof/>
            <w:webHidden/>
          </w:rPr>
          <w:instrText xml:space="preserve"> PAGEREF _Toc75534660 \h </w:instrText>
        </w:r>
        <w:r w:rsidR="006F171D">
          <w:rPr>
            <w:noProof/>
            <w:webHidden/>
          </w:rPr>
        </w:r>
        <w:r w:rsidR="006F171D">
          <w:rPr>
            <w:noProof/>
            <w:webHidden/>
          </w:rPr>
          <w:fldChar w:fldCharType="separate"/>
        </w:r>
        <w:r w:rsidR="006F171D">
          <w:rPr>
            <w:noProof/>
            <w:webHidden/>
          </w:rPr>
          <w:t>2</w:t>
        </w:r>
        <w:r w:rsidR="006F171D">
          <w:rPr>
            <w:noProof/>
            <w:webHidden/>
          </w:rPr>
          <w:fldChar w:fldCharType="end"/>
        </w:r>
      </w:hyperlink>
    </w:p>
    <w:p w14:paraId="4A860C0C" w14:textId="457BEE77" w:rsidR="006F171D" w:rsidRDefault="00AC7B53">
      <w:pPr>
        <w:pStyle w:val="TOC1"/>
        <w:rPr>
          <w:rFonts w:eastAsiaTheme="minorEastAsia" w:cstheme="minorBidi"/>
          <w:b w:val="0"/>
          <w:bCs w:val="0"/>
          <w:caps w:val="0"/>
          <w:noProof/>
          <w:sz w:val="22"/>
          <w:szCs w:val="22"/>
        </w:rPr>
      </w:pPr>
      <w:hyperlink w:anchor="_Toc75534661" w:history="1">
        <w:r w:rsidR="006F171D" w:rsidRPr="00436B74">
          <w:rPr>
            <w:rStyle w:val="Hyperlink"/>
            <w:noProof/>
          </w:rPr>
          <w:t>III.</w:t>
        </w:r>
        <w:r w:rsidR="006F171D">
          <w:rPr>
            <w:rFonts w:eastAsiaTheme="minorEastAsia" w:cstheme="minorBidi"/>
            <w:b w:val="0"/>
            <w:bCs w:val="0"/>
            <w:caps w:val="0"/>
            <w:noProof/>
            <w:sz w:val="22"/>
            <w:szCs w:val="22"/>
          </w:rPr>
          <w:tab/>
        </w:r>
        <w:r w:rsidR="006F171D" w:rsidRPr="00436B74">
          <w:rPr>
            <w:rStyle w:val="Hyperlink"/>
            <w:noProof/>
          </w:rPr>
          <w:t>Patient and Portal Flow</w:t>
        </w:r>
        <w:r w:rsidR="006F171D">
          <w:rPr>
            <w:noProof/>
            <w:webHidden/>
          </w:rPr>
          <w:tab/>
        </w:r>
        <w:r w:rsidR="006F171D">
          <w:rPr>
            <w:noProof/>
            <w:webHidden/>
          </w:rPr>
          <w:fldChar w:fldCharType="begin"/>
        </w:r>
        <w:r w:rsidR="006F171D">
          <w:rPr>
            <w:noProof/>
            <w:webHidden/>
          </w:rPr>
          <w:instrText xml:space="preserve"> PAGEREF _Toc75534661 \h </w:instrText>
        </w:r>
        <w:r w:rsidR="006F171D">
          <w:rPr>
            <w:noProof/>
            <w:webHidden/>
          </w:rPr>
        </w:r>
        <w:r w:rsidR="006F171D">
          <w:rPr>
            <w:noProof/>
            <w:webHidden/>
          </w:rPr>
          <w:fldChar w:fldCharType="separate"/>
        </w:r>
        <w:r w:rsidR="006F171D">
          <w:rPr>
            <w:noProof/>
            <w:webHidden/>
          </w:rPr>
          <w:t>3</w:t>
        </w:r>
        <w:r w:rsidR="006F171D">
          <w:rPr>
            <w:noProof/>
            <w:webHidden/>
          </w:rPr>
          <w:fldChar w:fldCharType="end"/>
        </w:r>
      </w:hyperlink>
    </w:p>
    <w:p w14:paraId="13890DAA" w14:textId="75583DD3" w:rsidR="006F171D" w:rsidRDefault="00AC7B53">
      <w:pPr>
        <w:pStyle w:val="TOC1"/>
        <w:rPr>
          <w:rFonts w:eastAsiaTheme="minorEastAsia" w:cstheme="minorBidi"/>
          <w:b w:val="0"/>
          <w:bCs w:val="0"/>
          <w:caps w:val="0"/>
          <w:noProof/>
          <w:sz w:val="22"/>
          <w:szCs w:val="22"/>
        </w:rPr>
      </w:pPr>
      <w:hyperlink w:anchor="_Toc75534662" w:history="1">
        <w:r w:rsidR="006F171D" w:rsidRPr="00436B74">
          <w:rPr>
            <w:rStyle w:val="Hyperlink"/>
            <w:noProof/>
          </w:rPr>
          <w:t>IV.</w:t>
        </w:r>
        <w:r w:rsidR="006F171D">
          <w:rPr>
            <w:rFonts w:eastAsiaTheme="minorEastAsia" w:cstheme="minorBidi"/>
            <w:b w:val="0"/>
            <w:bCs w:val="0"/>
            <w:caps w:val="0"/>
            <w:noProof/>
            <w:sz w:val="22"/>
            <w:szCs w:val="22"/>
          </w:rPr>
          <w:tab/>
        </w:r>
        <w:r w:rsidR="006F171D" w:rsidRPr="00436B74">
          <w:rPr>
            <w:rStyle w:val="Hyperlink"/>
            <w:noProof/>
          </w:rPr>
          <w:t>Delegate and Portal Flow</w:t>
        </w:r>
        <w:r w:rsidR="006F171D">
          <w:rPr>
            <w:noProof/>
            <w:webHidden/>
          </w:rPr>
          <w:tab/>
        </w:r>
        <w:r w:rsidR="006F171D">
          <w:rPr>
            <w:noProof/>
            <w:webHidden/>
          </w:rPr>
          <w:fldChar w:fldCharType="begin"/>
        </w:r>
        <w:r w:rsidR="006F171D">
          <w:rPr>
            <w:noProof/>
            <w:webHidden/>
          </w:rPr>
          <w:instrText xml:space="preserve"> PAGEREF _Toc75534662 \h </w:instrText>
        </w:r>
        <w:r w:rsidR="006F171D">
          <w:rPr>
            <w:noProof/>
            <w:webHidden/>
          </w:rPr>
        </w:r>
        <w:r w:rsidR="006F171D">
          <w:rPr>
            <w:noProof/>
            <w:webHidden/>
          </w:rPr>
          <w:fldChar w:fldCharType="separate"/>
        </w:r>
        <w:r w:rsidR="006F171D">
          <w:rPr>
            <w:noProof/>
            <w:webHidden/>
          </w:rPr>
          <w:t>4</w:t>
        </w:r>
        <w:r w:rsidR="006F171D">
          <w:rPr>
            <w:noProof/>
            <w:webHidden/>
          </w:rPr>
          <w:fldChar w:fldCharType="end"/>
        </w:r>
      </w:hyperlink>
    </w:p>
    <w:p w14:paraId="22FB33BC" w14:textId="0BDDFC6A" w:rsidR="00081964" w:rsidRDefault="004D4839">
      <w:pPr>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fldChar w:fldCharType="end"/>
      </w:r>
    </w:p>
    <w:p w14:paraId="0ADC8A1E" w14:textId="2147927B" w:rsidR="00396FE5" w:rsidRDefault="00964B88" w:rsidP="004D4839">
      <w:pPr>
        <w:pStyle w:val="Heading1"/>
        <w:rPr>
          <w:b/>
          <w:bCs/>
          <w:color w:val="000000" w:themeColor="text1"/>
        </w:rPr>
      </w:pPr>
      <w:bookmarkStart w:id="0" w:name="_Toc75534659"/>
      <w:r>
        <w:rPr>
          <w:b/>
          <w:bCs/>
          <w:color w:val="000000" w:themeColor="text1"/>
        </w:rPr>
        <w:t>I</w:t>
      </w:r>
      <w:r w:rsidR="008E6A46">
        <w:rPr>
          <w:b/>
          <w:bCs/>
          <w:color w:val="000000" w:themeColor="text1"/>
        </w:rPr>
        <w:t>NTRODUCTION</w:t>
      </w:r>
      <w:bookmarkEnd w:id="0"/>
    </w:p>
    <w:p w14:paraId="5E33DD26" w14:textId="223C9E2A" w:rsidR="00396FE5" w:rsidRDefault="00396FE5" w:rsidP="00D1247F">
      <w:pPr>
        <w:rPr>
          <w:sz w:val="24"/>
          <w:szCs w:val="24"/>
        </w:rPr>
      </w:pPr>
      <w:r>
        <w:rPr>
          <w:sz w:val="24"/>
          <w:szCs w:val="24"/>
        </w:rPr>
        <w:t xml:space="preserve">Dr. Jolie Haun and Team Connect performed an independent review of a Delegation Pilot involving the IAM </w:t>
      </w:r>
      <w:r w:rsidR="00466DB3" w:rsidRPr="00D1247F">
        <w:rPr>
          <w:sz w:val="24"/>
          <w:szCs w:val="24"/>
        </w:rPr>
        <w:t>Veteran Delegation Tool (VDT) </w:t>
      </w:r>
      <w:r>
        <w:rPr>
          <w:sz w:val="24"/>
          <w:szCs w:val="24"/>
        </w:rPr>
        <w:t xml:space="preserve">and </w:t>
      </w:r>
      <w:proofErr w:type="spellStart"/>
      <w:r>
        <w:rPr>
          <w:sz w:val="24"/>
          <w:szCs w:val="24"/>
        </w:rPr>
        <w:t>MyHealth</w:t>
      </w:r>
      <w:r w:rsidRPr="00396FE5">
        <w:rPr>
          <w:i/>
          <w:iCs/>
          <w:sz w:val="24"/>
          <w:szCs w:val="24"/>
        </w:rPr>
        <w:t>e</w:t>
      </w:r>
      <w:r>
        <w:rPr>
          <w:sz w:val="24"/>
          <w:szCs w:val="24"/>
        </w:rPr>
        <w:t>Vet</w:t>
      </w:r>
      <w:proofErr w:type="spellEnd"/>
      <w:r w:rsidR="007F34D1">
        <w:rPr>
          <w:sz w:val="24"/>
          <w:szCs w:val="24"/>
        </w:rPr>
        <w:t xml:space="preserve"> (MHV). </w:t>
      </w:r>
      <w:r>
        <w:rPr>
          <w:sz w:val="24"/>
          <w:szCs w:val="24"/>
        </w:rPr>
        <w:t xml:space="preserve">The review </w:t>
      </w:r>
      <w:r w:rsidR="002E6366">
        <w:rPr>
          <w:sz w:val="24"/>
          <w:szCs w:val="24"/>
        </w:rPr>
        <w:t xml:space="preserve">was based on detailed interviews with users and </w:t>
      </w:r>
      <w:r>
        <w:rPr>
          <w:sz w:val="24"/>
          <w:szCs w:val="24"/>
        </w:rPr>
        <w:t>yielded a report that included pain points that cover</w:t>
      </w:r>
      <w:r w:rsidR="00D6064E">
        <w:rPr>
          <w:sz w:val="24"/>
          <w:szCs w:val="24"/>
        </w:rPr>
        <w:t xml:space="preserve">ed </w:t>
      </w:r>
    </w:p>
    <w:p w14:paraId="043B44A2" w14:textId="11613275" w:rsidR="001157A1" w:rsidRPr="001157A1" w:rsidRDefault="00396FE5" w:rsidP="001157A1">
      <w:pPr>
        <w:pStyle w:val="ListParagraph"/>
        <w:numPr>
          <w:ilvl w:val="0"/>
          <w:numId w:val="4"/>
        </w:numPr>
        <w:rPr>
          <w:sz w:val="24"/>
          <w:szCs w:val="24"/>
        </w:rPr>
      </w:pPr>
      <w:r>
        <w:rPr>
          <w:sz w:val="24"/>
          <w:szCs w:val="24"/>
        </w:rPr>
        <w:t>Need for better overall guidance for veterans and prospective delegates before starting the delegation proc</w:t>
      </w:r>
      <w:r w:rsidR="001157A1">
        <w:rPr>
          <w:sz w:val="24"/>
          <w:szCs w:val="24"/>
        </w:rPr>
        <w:t>ess</w:t>
      </w:r>
    </w:p>
    <w:p w14:paraId="0A0B4226" w14:textId="7E2FEDBD" w:rsidR="007F34D1" w:rsidRDefault="007F34D1" w:rsidP="00396FE5">
      <w:pPr>
        <w:pStyle w:val="ListParagraph"/>
        <w:numPr>
          <w:ilvl w:val="0"/>
          <w:numId w:val="4"/>
        </w:numPr>
        <w:rPr>
          <w:sz w:val="24"/>
          <w:szCs w:val="24"/>
        </w:rPr>
      </w:pPr>
      <w:r>
        <w:rPr>
          <w:sz w:val="24"/>
          <w:szCs w:val="24"/>
        </w:rPr>
        <w:t>Difficulty determining the correct which sign-in partner to use</w:t>
      </w:r>
    </w:p>
    <w:p w14:paraId="0FC0565C" w14:textId="795A57E0" w:rsidR="007F34D1" w:rsidRDefault="007F34D1" w:rsidP="00396FE5">
      <w:pPr>
        <w:pStyle w:val="ListParagraph"/>
        <w:numPr>
          <w:ilvl w:val="0"/>
          <w:numId w:val="4"/>
        </w:numPr>
        <w:rPr>
          <w:sz w:val="24"/>
          <w:szCs w:val="24"/>
        </w:rPr>
      </w:pPr>
      <w:r>
        <w:rPr>
          <w:sz w:val="24"/>
          <w:szCs w:val="24"/>
        </w:rPr>
        <w:t>Difficulty registering with a sign-in part</w:t>
      </w:r>
      <w:r w:rsidR="000957C5">
        <w:rPr>
          <w:sz w:val="24"/>
          <w:szCs w:val="24"/>
        </w:rPr>
        <w:t>n</w:t>
      </w:r>
      <w:r>
        <w:rPr>
          <w:sz w:val="24"/>
          <w:szCs w:val="24"/>
        </w:rPr>
        <w:t>er</w:t>
      </w:r>
    </w:p>
    <w:p w14:paraId="628CC4CD" w14:textId="6714D03E" w:rsidR="007F34D1" w:rsidRDefault="007F34D1" w:rsidP="00396FE5">
      <w:pPr>
        <w:pStyle w:val="ListParagraph"/>
        <w:numPr>
          <w:ilvl w:val="0"/>
          <w:numId w:val="4"/>
        </w:numPr>
        <w:rPr>
          <w:sz w:val="24"/>
          <w:szCs w:val="24"/>
        </w:rPr>
      </w:pPr>
      <w:r>
        <w:rPr>
          <w:sz w:val="24"/>
          <w:szCs w:val="24"/>
        </w:rPr>
        <w:t>Lengthy MHV registration processes</w:t>
      </w:r>
    </w:p>
    <w:p w14:paraId="522F5E7E" w14:textId="4FD8E621" w:rsidR="00396FE5" w:rsidRDefault="007F34D1" w:rsidP="00396FE5">
      <w:pPr>
        <w:pStyle w:val="ListParagraph"/>
        <w:numPr>
          <w:ilvl w:val="0"/>
          <w:numId w:val="4"/>
        </w:numPr>
        <w:rPr>
          <w:sz w:val="24"/>
          <w:szCs w:val="24"/>
        </w:rPr>
      </w:pPr>
      <w:r>
        <w:rPr>
          <w:sz w:val="24"/>
          <w:szCs w:val="24"/>
        </w:rPr>
        <w:t>Usability concerns with VDT</w:t>
      </w:r>
    </w:p>
    <w:p w14:paraId="4F01679D" w14:textId="210D4233" w:rsidR="007F34D1" w:rsidRDefault="007F34D1" w:rsidP="00396FE5">
      <w:pPr>
        <w:pStyle w:val="ListParagraph"/>
        <w:numPr>
          <w:ilvl w:val="0"/>
          <w:numId w:val="4"/>
        </w:numPr>
        <w:rPr>
          <w:sz w:val="24"/>
          <w:szCs w:val="24"/>
        </w:rPr>
      </w:pPr>
      <w:r>
        <w:rPr>
          <w:sz w:val="24"/>
          <w:szCs w:val="24"/>
        </w:rPr>
        <w:t>Usability concerns with IAM electronic signature</w:t>
      </w:r>
    </w:p>
    <w:p w14:paraId="14B16ABB" w14:textId="7C6F607D" w:rsidR="007F34D1" w:rsidRDefault="007F34D1" w:rsidP="00396FE5">
      <w:pPr>
        <w:pStyle w:val="ListParagraph"/>
        <w:numPr>
          <w:ilvl w:val="0"/>
          <w:numId w:val="4"/>
        </w:numPr>
        <w:rPr>
          <w:sz w:val="24"/>
          <w:szCs w:val="24"/>
        </w:rPr>
      </w:pPr>
      <w:r>
        <w:rPr>
          <w:sz w:val="24"/>
          <w:szCs w:val="24"/>
        </w:rPr>
        <w:t>Usability concerns with MHV for Delegates</w:t>
      </w:r>
    </w:p>
    <w:p w14:paraId="4A3D2CB9" w14:textId="3733446F" w:rsidR="00D6064E" w:rsidRDefault="007F34D1" w:rsidP="00D1247F">
      <w:pPr>
        <w:pStyle w:val="ListParagraph"/>
        <w:numPr>
          <w:ilvl w:val="0"/>
          <w:numId w:val="4"/>
        </w:numPr>
        <w:rPr>
          <w:sz w:val="24"/>
          <w:szCs w:val="24"/>
        </w:rPr>
      </w:pPr>
      <w:r>
        <w:rPr>
          <w:sz w:val="24"/>
          <w:szCs w:val="24"/>
        </w:rPr>
        <w:t>Confusion among clinicians when Delegates used MHV Secure Messaging on behalf of a veteran</w:t>
      </w:r>
    </w:p>
    <w:p w14:paraId="44D52D77" w14:textId="77777777" w:rsidR="00D6064E" w:rsidRPr="00D6064E" w:rsidRDefault="00D6064E" w:rsidP="00D6064E">
      <w:pPr>
        <w:pStyle w:val="ListParagraph"/>
        <w:rPr>
          <w:sz w:val="24"/>
          <w:szCs w:val="24"/>
        </w:rPr>
      </w:pPr>
    </w:p>
    <w:p w14:paraId="6DE51A88" w14:textId="413E1196" w:rsidR="007F34D1" w:rsidRDefault="007F34D1" w:rsidP="00D1247F">
      <w:pPr>
        <w:rPr>
          <w:sz w:val="24"/>
          <w:szCs w:val="24"/>
        </w:rPr>
      </w:pPr>
      <w:r>
        <w:rPr>
          <w:sz w:val="24"/>
          <w:szCs w:val="24"/>
        </w:rPr>
        <w:t xml:space="preserve">These were presented </w:t>
      </w:r>
      <w:r w:rsidR="004653ED">
        <w:rPr>
          <w:sz w:val="24"/>
          <w:szCs w:val="24"/>
        </w:rPr>
        <w:t xml:space="preserve">as “IAM VDT Pain Points and Recommendations” but in fact address the full impact of Delegation across a range of systems.   As the Pilot was executed with MHV, interactions with Cerner Patient Portal were not addressed. </w:t>
      </w:r>
      <w:r w:rsidR="000560B1">
        <w:rPr>
          <w:sz w:val="24"/>
          <w:szCs w:val="24"/>
        </w:rPr>
        <w:t xml:space="preserve">However, </w:t>
      </w:r>
      <w:r w:rsidR="004653ED">
        <w:rPr>
          <w:sz w:val="24"/>
          <w:szCs w:val="24"/>
        </w:rPr>
        <w:t>Delegations stored in VDT apply to Cerne</w:t>
      </w:r>
      <w:r w:rsidR="002E6366">
        <w:rPr>
          <w:sz w:val="24"/>
          <w:szCs w:val="24"/>
        </w:rPr>
        <w:t>r</w:t>
      </w:r>
      <w:r w:rsidR="006536B2">
        <w:rPr>
          <w:sz w:val="24"/>
          <w:szCs w:val="24"/>
        </w:rPr>
        <w:t xml:space="preserve">. </w:t>
      </w:r>
    </w:p>
    <w:p w14:paraId="05357BCA" w14:textId="6A4061E3" w:rsidR="00D6064E" w:rsidRDefault="00D6064E" w:rsidP="00D1247F">
      <w:pPr>
        <w:rPr>
          <w:sz w:val="24"/>
          <w:szCs w:val="24"/>
        </w:rPr>
      </w:pPr>
      <w:r>
        <w:rPr>
          <w:sz w:val="24"/>
          <w:szCs w:val="24"/>
        </w:rPr>
        <w:t xml:space="preserve">Note that the Team Connect report included other Pain Points related to Delegation, include some directed usability of MHV and Secure Messaging after the delegation is in place – these are not addressed in this response. </w:t>
      </w:r>
    </w:p>
    <w:p w14:paraId="42F823C5" w14:textId="44812265" w:rsidR="00D6064E" w:rsidRDefault="00D6064E" w:rsidP="00D1247F">
      <w:pPr>
        <w:rPr>
          <w:sz w:val="24"/>
          <w:szCs w:val="24"/>
        </w:rPr>
      </w:pPr>
    </w:p>
    <w:p w14:paraId="291150C3" w14:textId="77777777" w:rsidR="00D6064E" w:rsidRDefault="00D6064E" w:rsidP="00D1247F">
      <w:pPr>
        <w:rPr>
          <w:sz w:val="24"/>
          <w:szCs w:val="24"/>
        </w:rPr>
      </w:pPr>
    </w:p>
    <w:p w14:paraId="7411B4AC" w14:textId="20877813" w:rsidR="009F6E20" w:rsidRDefault="001157A1" w:rsidP="00D1247F">
      <w:pPr>
        <w:pStyle w:val="Heading1"/>
        <w:rPr>
          <w:b/>
          <w:bCs/>
          <w:color w:val="000000" w:themeColor="text1"/>
        </w:rPr>
      </w:pPr>
      <w:bookmarkStart w:id="1" w:name="_Toc75534660"/>
      <w:r>
        <w:rPr>
          <w:b/>
          <w:bCs/>
          <w:color w:val="000000" w:themeColor="text1"/>
        </w:rPr>
        <w:lastRenderedPageBreak/>
        <w:t>IAM Response and Recommendations</w:t>
      </w:r>
      <w:bookmarkEnd w:id="1"/>
      <w:r>
        <w:rPr>
          <w:b/>
          <w:bCs/>
          <w:color w:val="000000" w:themeColor="text1"/>
        </w:rPr>
        <w:t xml:space="preserve">  </w:t>
      </w:r>
    </w:p>
    <w:p w14:paraId="0B2A8841" w14:textId="0BF9217A" w:rsidR="00B464F4" w:rsidRDefault="002E6366" w:rsidP="00B464F4">
      <w:pPr>
        <w:rPr>
          <w:sz w:val="24"/>
          <w:szCs w:val="24"/>
        </w:rPr>
      </w:pPr>
      <w:r>
        <w:rPr>
          <w:sz w:val="24"/>
          <w:szCs w:val="24"/>
        </w:rPr>
        <w:t>Th</w:t>
      </w:r>
      <w:r w:rsidR="000560B1">
        <w:rPr>
          <w:sz w:val="24"/>
          <w:szCs w:val="24"/>
        </w:rPr>
        <w:t xml:space="preserve">is document </w:t>
      </w:r>
      <w:r w:rsidR="00B464F4">
        <w:rPr>
          <w:sz w:val="24"/>
          <w:szCs w:val="24"/>
        </w:rPr>
        <w:t>provides a response to the Pain Points document</w:t>
      </w:r>
      <w:r w:rsidR="002E1F34">
        <w:rPr>
          <w:sz w:val="24"/>
          <w:szCs w:val="24"/>
        </w:rPr>
        <w:t xml:space="preserve"> by putting the pain points in a context of overall busines flow. The IAM team has done this in hopes of providing a fruitful basis for analysis of changes needed across the board to provide a robust solution to support a successful rollout of delegation for patient portals. </w:t>
      </w:r>
    </w:p>
    <w:p w14:paraId="10B7FABC" w14:textId="673F57FD" w:rsidR="002E1F34" w:rsidRPr="00081A78" w:rsidRDefault="008A6942" w:rsidP="002E1F34">
      <w:pPr>
        <w:rPr>
          <w:b/>
          <w:bCs/>
          <w:sz w:val="24"/>
          <w:szCs w:val="24"/>
        </w:rPr>
      </w:pPr>
      <w:r>
        <w:rPr>
          <w:b/>
          <w:bCs/>
          <w:sz w:val="24"/>
          <w:szCs w:val="24"/>
        </w:rPr>
        <w:t>IAM</w:t>
      </w:r>
      <w:r w:rsidR="001157A1">
        <w:rPr>
          <w:b/>
          <w:bCs/>
          <w:sz w:val="24"/>
          <w:szCs w:val="24"/>
        </w:rPr>
        <w:t xml:space="preserve"> Recommendations </w:t>
      </w:r>
    </w:p>
    <w:p w14:paraId="03BB4F43" w14:textId="782CDADD" w:rsidR="002E1F34" w:rsidRDefault="002E1F34" w:rsidP="002E1F34">
      <w:pPr>
        <w:pStyle w:val="ListParagraph"/>
        <w:numPr>
          <w:ilvl w:val="0"/>
          <w:numId w:val="7"/>
        </w:numPr>
        <w:rPr>
          <w:sz w:val="24"/>
          <w:szCs w:val="24"/>
        </w:rPr>
      </w:pPr>
      <w:r>
        <w:rPr>
          <w:sz w:val="24"/>
          <w:szCs w:val="24"/>
        </w:rPr>
        <w:t>Cerner</w:t>
      </w:r>
      <w:r w:rsidR="0074468E">
        <w:rPr>
          <w:sz w:val="24"/>
          <w:szCs w:val="24"/>
        </w:rPr>
        <w:t xml:space="preserve"> Patient Portal</w:t>
      </w:r>
      <w:r>
        <w:rPr>
          <w:sz w:val="24"/>
          <w:szCs w:val="24"/>
        </w:rPr>
        <w:t xml:space="preserve"> must be included in any thinking about the future, and material must be provided to patients and delegates about which portal to select</w:t>
      </w:r>
      <w:r w:rsidR="0074468E">
        <w:rPr>
          <w:sz w:val="24"/>
          <w:szCs w:val="24"/>
        </w:rPr>
        <w:t xml:space="preserve"> as part of setting up a Delegate </w:t>
      </w:r>
    </w:p>
    <w:p w14:paraId="298A3F0C" w14:textId="24DCE162" w:rsidR="002E1F34" w:rsidRDefault="0074468E" w:rsidP="002E1F34">
      <w:pPr>
        <w:pStyle w:val="ListParagraph"/>
        <w:numPr>
          <w:ilvl w:val="0"/>
          <w:numId w:val="7"/>
        </w:numPr>
        <w:rPr>
          <w:sz w:val="24"/>
          <w:szCs w:val="24"/>
        </w:rPr>
      </w:pPr>
      <w:r>
        <w:rPr>
          <w:sz w:val="24"/>
          <w:szCs w:val="24"/>
        </w:rPr>
        <w:t xml:space="preserve">Based on the feedback in the report, and additional complexity introduced by the presence of the Cerner option, </w:t>
      </w:r>
      <w:r w:rsidR="00BF734D">
        <w:rPr>
          <w:sz w:val="24"/>
          <w:szCs w:val="24"/>
        </w:rPr>
        <w:t xml:space="preserve">there will need to be a single home source of information for Patients and Delegates about the choice of portals, end-to-end process across multiple systems and other helpful information. This information has not been fully assembled as of this writing, and there is no specific location set up for it to be hosted.  It is possible that such information might reside on va.gov </w:t>
      </w:r>
    </w:p>
    <w:p w14:paraId="147DB6EC" w14:textId="62DFB50B" w:rsidR="008A6942" w:rsidRDefault="00BE0C15" w:rsidP="00B464F4">
      <w:pPr>
        <w:pStyle w:val="ListParagraph"/>
        <w:numPr>
          <w:ilvl w:val="0"/>
          <w:numId w:val="7"/>
        </w:numPr>
        <w:rPr>
          <w:sz w:val="24"/>
          <w:szCs w:val="24"/>
        </w:rPr>
      </w:pPr>
      <w:r>
        <w:rPr>
          <w:sz w:val="24"/>
          <w:szCs w:val="24"/>
        </w:rPr>
        <w:t xml:space="preserve">In an initial IAM technical review of </w:t>
      </w:r>
      <w:r w:rsidR="007D55A0">
        <w:rPr>
          <w:sz w:val="24"/>
          <w:szCs w:val="24"/>
        </w:rPr>
        <w:t>As-Is flows in this document</w:t>
      </w:r>
      <w:r>
        <w:rPr>
          <w:sz w:val="24"/>
          <w:szCs w:val="24"/>
        </w:rPr>
        <w:t xml:space="preserve"> flows</w:t>
      </w:r>
      <w:r w:rsidR="006973C0">
        <w:rPr>
          <w:sz w:val="24"/>
          <w:szCs w:val="24"/>
        </w:rPr>
        <w:t>,</w:t>
      </w:r>
      <w:r w:rsidR="007D55A0">
        <w:rPr>
          <w:sz w:val="24"/>
          <w:szCs w:val="24"/>
        </w:rPr>
        <w:t xml:space="preserve"> IAM architecture emphasized the need </w:t>
      </w:r>
      <w:r w:rsidR="006F171D">
        <w:rPr>
          <w:sz w:val="24"/>
          <w:szCs w:val="24"/>
        </w:rPr>
        <w:t xml:space="preserve">to maintain identity integrity throughout. One specific recommendation is to have Delegate portal account registration be based on the Delegate’s </w:t>
      </w:r>
      <w:proofErr w:type="spellStart"/>
      <w:r w:rsidR="006F171D">
        <w:rPr>
          <w:sz w:val="24"/>
          <w:szCs w:val="24"/>
        </w:rPr>
        <w:t>SecID</w:t>
      </w:r>
      <w:proofErr w:type="spellEnd"/>
      <w:r w:rsidR="006F171D">
        <w:rPr>
          <w:sz w:val="24"/>
          <w:szCs w:val="24"/>
        </w:rPr>
        <w:t xml:space="preserve"> (a user identifier issued by IAM). </w:t>
      </w:r>
    </w:p>
    <w:p w14:paraId="7E0F8EF1" w14:textId="77777777" w:rsidR="008A6942" w:rsidRDefault="008A6942" w:rsidP="008A6942">
      <w:pPr>
        <w:pStyle w:val="ListParagraph"/>
        <w:rPr>
          <w:sz w:val="24"/>
          <w:szCs w:val="24"/>
        </w:rPr>
      </w:pPr>
    </w:p>
    <w:p w14:paraId="2FEB52F6" w14:textId="77777777" w:rsidR="008A6942" w:rsidRDefault="008A6942" w:rsidP="008A6942">
      <w:pPr>
        <w:pStyle w:val="ListParagraph"/>
        <w:rPr>
          <w:sz w:val="24"/>
          <w:szCs w:val="24"/>
        </w:rPr>
      </w:pPr>
    </w:p>
    <w:p w14:paraId="6345E655" w14:textId="2C65B05A" w:rsidR="008A6942" w:rsidRPr="008A6942" w:rsidRDefault="008A6942" w:rsidP="008A6942">
      <w:pPr>
        <w:pStyle w:val="ListParagraph"/>
        <w:ind w:left="0"/>
        <w:rPr>
          <w:b/>
          <w:bCs/>
          <w:sz w:val="24"/>
          <w:szCs w:val="24"/>
        </w:rPr>
      </w:pPr>
      <w:r w:rsidRPr="008A6942">
        <w:rPr>
          <w:b/>
          <w:bCs/>
          <w:sz w:val="24"/>
          <w:szCs w:val="24"/>
        </w:rPr>
        <w:t>Suggested Path Forward</w:t>
      </w:r>
    </w:p>
    <w:p w14:paraId="153046A7" w14:textId="2F2C3A8F" w:rsidR="00BF734D" w:rsidRDefault="00BF734D" w:rsidP="008A6942">
      <w:pPr>
        <w:pStyle w:val="ListParagraph"/>
        <w:ind w:left="0"/>
        <w:rPr>
          <w:sz w:val="24"/>
          <w:szCs w:val="24"/>
        </w:rPr>
      </w:pPr>
      <w:r>
        <w:rPr>
          <w:sz w:val="24"/>
          <w:szCs w:val="24"/>
        </w:rPr>
        <w:t xml:space="preserve">The Pain Points </w:t>
      </w:r>
      <w:r w:rsidR="00CB1432">
        <w:rPr>
          <w:sz w:val="24"/>
          <w:szCs w:val="24"/>
        </w:rPr>
        <w:t xml:space="preserve">related to establishing portal accounts and the delegation relationship crop up in different ways for the patient and the delegate. The best way to ensure each pain point is fully addressed </w:t>
      </w:r>
      <w:r w:rsidR="006F171D">
        <w:rPr>
          <w:sz w:val="24"/>
          <w:szCs w:val="24"/>
        </w:rPr>
        <w:t>in work going forward i</w:t>
      </w:r>
      <w:r w:rsidR="00CB1432">
        <w:rPr>
          <w:sz w:val="24"/>
          <w:szCs w:val="24"/>
        </w:rPr>
        <w:t xml:space="preserve">s to lay out the full patient flow and the full delegate flow and illustrate where the pain points occur for each type of stakeholder. </w:t>
      </w:r>
      <w:r>
        <w:rPr>
          <w:sz w:val="24"/>
          <w:szCs w:val="24"/>
        </w:rPr>
        <w:t xml:space="preserve">Here are the key steps as illustrated in the </w:t>
      </w:r>
      <w:r w:rsidR="00360632">
        <w:rPr>
          <w:sz w:val="24"/>
          <w:szCs w:val="24"/>
        </w:rPr>
        <w:t xml:space="preserve">As-Is </w:t>
      </w:r>
      <w:r>
        <w:rPr>
          <w:sz w:val="24"/>
          <w:szCs w:val="24"/>
        </w:rPr>
        <w:t>diagrams below</w:t>
      </w:r>
    </w:p>
    <w:p w14:paraId="70551774" w14:textId="77777777" w:rsidR="00360632" w:rsidRDefault="00360632" w:rsidP="008A6942">
      <w:pPr>
        <w:pStyle w:val="ListParagraph"/>
        <w:ind w:left="0"/>
        <w:rPr>
          <w:sz w:val="24"/>
          <w:szCs w:val="24"/>
        </w:rPr>
      </w:pPr>
    </w:p>
    <w:p w14:paraId="2534C939" w14:textId="77777777" w:rsidR="00BF734D" w:rsidRPr="00081A78" w:rsidRDefault="00BF734D" w:rsidP="00081A78">
      <w:pPr>
        <w:spacing w:after="0"/>
        <w:ind w:left="720"/>
        <w:rPr>
          <w:b/>
          <w:bCs/>
          <w:sz w:val="24"/>
          <w:szCs w:val="24"/>
        </w:rPr>
      </w:pPr>
      <w:r w:rsidRPr="00081A78">
        <w:rPr>
          <w:b/>
          <w:bCs/>
          <w:sz w:val="24"/>
          <w:szCs w:val="24"/>
        </w:rPr>
        <w:t>Patient Steps</w:t>
      </w:r>
    </w:p>
    <w:p w14:paraId="751849D9" w14:textId="77777777" w:rsidR="00BF734D" w:rsidRPr="00BF734D" w:rsidRDefault="00BF734D" w:rsidP="00081A78">
      <w:pPr>
        <w:spacing w:after="0"/>
        <w:ind w:left="720"/>
        <w:rPr>
          <w:sz w:val="24"/>
          <w:szCs w:val="24"/>
        </w:rPr>
      </w:pPr>
      <w:r w:rsidRPr="00BF734D">
        <w:rPr>
          <w:sz w:val="24"/>
          <w:szCs w:val="24"/>
        </w:rPr>
        <w:t xml:space="preserve">Step 1 Establish </w:t>
      </w:r>
      <w:proofErr w:type="spellStart"/>
      <w:r w:rsidRPr="00BF734D">
        <w:rPr>
          <w:sz w:val="24"/>
          <w:szCs w:val="24"/>
        </w:rPr>
        <w:t>SSOe</w:t>
      </w:r>
      <w:proofErr w:type="spellEnd"/>
      <w:r w:rsidRPr="00BF734D">
        <w:rPr>
          <w:sz w:val="24"/>
          <w:szCs w:val="24"/>
        </w:rPr>
        <w:t>-Enabled Patient Portal Account</w:t>
      </w:r>
    </w:p>
    <w:p w14:paraId="3FD6083D" w14:textId="77777777" w:rsidR="00BF734D" w:rsidRPr="00BF734D" w:rsidRDefault="00BF734D" w:rsidP="00081A78">
      <w:pPr>
        <w:spacing w:after="0"/>
        <w:ind w:left="720"/>
        <w:rPr>
          <w:sz w:val="24"/>
          <w:szCs w:val="24"/>
        </w:rPr>
      </w:pPr>
      <w:r w:rsidRPr="00BF734D">
        <w:rPr>
          <w:sz w:val="24"/>
          <w:szCs w:val="24"/>
        </w:rPr>
        <w:t>Step 2 Send Email Invitation</w:t>
      </w:r>
    </w:p>
    <w:p w14:paraId="1106D020" w14:textId="77777777" w:rsidR="00BF734D" w:rsidRPr="00BF734D" w:rsidRDefault="00BF734D" w:rsidP="00081A78">
      <w:pPr>
        <w:spacing w:after="0"/>
        <w:ind w:left="720"/>
        <w:rPr>
          <w:sz w:val="24"/>
          <w:szCs w:val="24"/>
        </w:rPr>
      </w:pPr>
      <w:r w:rsidRPr="00BF734D">
        <w:rPr>
          <w:sz w:val="24"/>
          <w:szCs w:val="24"/>
        </w:rPr>
        <w:t>Step 3 Create and Sign Delegation Form</w:t>
      </w:r>
    </w:p>
    <w:p w14:paraId="4D6B056F" w14:textId="77777777" w:rsidR="00BF734D" w:rsidRPr="00BF734D" w:rsidRDefault="00BF734D" w:rsidP="00081A78">
      <w:pPr>
        <w:spacing w:after="0"/>
        <w:ind w:left="720"/>
        <w:rPr>
          <w:sz w:val="24"/>
          <w:szCs w:val="24"/>
        </w:rPr>
      </w:pPr>
      <w:r w:rsidRPr="00BF734D">
        <w:rPr>
          <w:sz w:val="24"/>
          <w:szCs w:val="24"/>
        </w:rPr>
        <w:t>Step 4 Notification that Delegate has accepted</w:t>
      </w:r>
    </w:p>
    <w:p w14:paraId="1DBC5ACD" w14:textId="77777777" w:rsidR="00BF734D" w:rsidRPr="00BF734D" w:rsidRDefault="00BF734D" w:rsidP="00081A78">
      <w:pPr>
        <w:spacing w:after="0"/>
        <w:ind w:left="720"/>
        <w:rPr>
          <w:sz w:val="24"/>
          <w:szCs w:val="24"/>
        </w:rPr>
      </w:pPr>
    </w:p>
    <w:p w14:paraId="5DF43E64" w14:textId="77777777" w:rsidR="00BF734D" w:rsidRPr="00081A78" w:rsidRDefault="00BF734D" w:rsidP="00081A78">
      <w:pPr>
        <w:spacing w:after="0"/>
        <w:ind w:left="720"/>
        <w:rPr>
          <w:b/>
          <w:bCs/>
          <w:sz w:val="24"/>
          <w:szCs w:val="24"/>
        </w:rPr>
      </w:pPr>
      <w:r w:rsidRPr="00081A78">
        <w:rPr>
          <w:b/>
          <w:bCs/>
          <w:sz w:val="24"/>
          <w:szCs w:val="24"/>
        </w:rPr>
        <w:t>Delegate Steps</w:t>
      </w:r>
    </w:p>
    <w:p w14:paraId="7E0A6CF3" w14:textId="77777777" w:rsidR="00BF734D" w:rsidRPr="00BF734D" w:rsidRDefault="00BF734D" w:rsidP="00081A78">
      <w:pPr>
        <w:spacing w:after="0"/>
        <w:ind w:left="720"/>
        <w:rPr>
          <w:sz w:val="24"/>
          <w:szCs w:val="24"/>
        </w:rPr>
      </w:pPr>
      <w:r w:rsidRPr="00BF734D">
        <w:rPr>
          <w:sz w:val="24"/>
          <w:szCs w:val="24"/>
        </w:rPr>
        <w:t>Step 1 Receive Invite</w:t>
      </w:r>
    </w:p>
    <w:p w14:paraId="71029252" w14:textId="77777777" w:rsidR="00BF734D" w:rsidRPr="00BF734D" w:rsidRDefault="00BF734D" w:rsidP="00081A78">
      <w:pPr>
        <w:spacing w:after="0"/>
        <w:ind w:left="720"/>
        <w:rPr>
          <w:sz w:val="24"/>
          <w:szCs w:val="24"/>
        </w:rPr>
      </w:pPr>
      <w:r w:rsidRPr="00BF734D">
        <w:rPr>
          <w:sz w:val="24"/>
          <w:szCs w:val="24"/>
        </w:rPr>
        <w:t>Step 2 Create Sign-In Partner Account</w:t>
      </w:r>
    </w:p>
    <w:p w14:paraId="0AB4514C" w14:textId="2808C30F" w:rsidR="00BF734D" w:rsidRPr="00BF734D" w:rsidRDefault="00BF734D" w:rsidP="00081A78">
      <w:pPr>
        <w:spacing w:after="0"/>
        <w:ind w:left="720"/>
        <w:rPr>
          <w:sz w:val="24"/>
          <w:szCs w:val="24"/>
        </w:rPr>
      </w:pPr>
      <w:r w:rsidRPr="00BF734D">
        <w:rPr>
          <w:sz w:val="24"/>
          <w:szCs w:val="24"/>
        </w:rPr>
        <w:t>Step 3 Indicate Interest</w:t>
      </w:r>
      <w:r>
        <w:rPr>
          <w:sz w:val="24"/>
          <w:szCs w:val="24"/>
        </w:rPr>
        <w:t xml:space="preserve"> in acting as Delegate</w:t>
      </w:r>
    </w:p>
    <w:p w14:paraId="429F8DAD" w14:textId="77777777" w:rsidR="00BF734D" w:rsidRPr="00BF734D" w:rsidRDefault="00BF734D" w:rsidP="00081A78">
      <w:pPr>
        <w:spacing w:after="0"/>
        <w:ind w:left="720"/>
        <w:rPr>
          <w:sz w:val="24"/>
          <w:szCs w:val="24"/>
        </w:rPr>
      </w:pPr>
      <w:r w:rsidRPr="00BF734D">
        <w:rPr>
          <w:sz w:val="24"/>
          <w:szCs w:val="24"/>
        </w:rPr>
        <w:t>Step 4 Confirm Delegation</w:t>
      </w:r>
    </w:p>
    <w:p w14:paraId="7E0B011B" w14:textId="77777777" w:rsidR="00BF734D" w:rsidRPr="00BF734D" w:rsidRDefault="00BF734D" w:rsidP="00081A78">
      <w:pPr>
        <w:spacing w:after="0"/>
        <w:ind w:left="720"/>
        <w:rPr>
          <w:sz w:val="24"/>
          <w:szCs w:val="24"/>
        </w:rPr>
      </w:pPr>
      <w:r w:rsidRPr="00BF734D">
        <w:rPr>
          <w:sz w:val="24"/>
          <w:szCs w:val="24"/>
        </w:rPr>
        <w:t>Step 5 Navigate to Portal</w:t>
      </w:r>
    </w:p>
    <w:p w14:paraId="518E1926" w14:textId="3B3150F2" w:rsidR="002E6366" w:rsidRPr="00BF734D" w:rsidRDefault="00BF734D" w:rsidP="006F171D">
      <w:pPr>
        <w:spacing w:after="0"/>
        <w:ind w:left="720"/>
        <w:rPr>
          <w:sz w:val="24"/>
          <w:szCs w:val="24"/>
        </w:rPr>
      </w:pPr>
      <w:r w:rsidRPr="00BF734D">
        <w:rPr>
          <w:sz w:val="24"/>
          <w:szCs w:val="24"/>
        </w:rPr>
        <w:t>Step 6 Delegate Create Portal Acct &amp; View Patient Record</w:t>
      </w:r>
    </w:p>
    <w:p w14:paraId="70EDD0D7" w14:textId="35EB007A" w:rsidR="000D2F6F" w:rsidRDefault="00BF734D" w:rsidP="006536B2">
      <w:pPr>
        <w:rPr>
          <w:sz w:val="24"/>
          <w:szCs w:val="24"/>
        </w:rPr>
        <w:sectPr w:rsidR="000D2F6F" w:rsidSect="00964B88">
          <w:footerReference w:type="default" r:id="rId8"/>
          <w:pgSz w:w="12240" w:h="15840"/>
          <w:pgMar w:top="720" w:right="1440" w:bottom="864" w:left="1440" w:header="720" w:footer="720" w:gutter="0"/>
          <w:cols w:space="720"/>
          <w:docGrid w:linePitch="360"/>
        </w:sectPr>
      </w:pPr>
      <w:r>
        <w:rPr>
          <w:sz w:val="24"/>
          <w:szCs w:val="24"/>
        </w:rPr>
        <w:t>The diagrams below include a lane titled “</w:t>
      </w:r>
      <w:r w:rsidRPr="00BF734D">
        <w:rPr>
          <w:sz w:val="24"/>
          <w:szCs w:val="24"/>
        </w:rPr>
        <w:t>Portal Guidance for patients and delegates(va.gov?)</w:t>
      </w:r>
      <w:r>
        <w:rPr>
          <w:sz w:val="24"/>
          <w:szCs w:val="24"/>
        </w:rPr>
        <w:t xml:space="preserve">”  This is a placeholder for TBD location for the information and guidance referenced in </w:t>
      </w:r>
      <w:r w:rsidR="008A6942">
        <w:rPr>
          <w:sz w:val="24"/>
          <w:szCs w:val="24"/>
        </w:rPr>
        <w:t>Recommendation</w:t>
      </w:r>
      <w:r w:rsidR="00FA1838">
        <w:rPr>
          <w:sz w:val="24"/>
          <w:szCs w:val="24"/>
        </w:rPr>
        <w:t xml:space="preserve"> 2 abo</w:t>
      </w:r>
      <w:r w:rsidR="000D2F6F">
        <w:rPr>
          <w:sz w:val="24"/>
          <w:szCs w:val="24"/>
        </w:rPr>
        <w:t xml:space="preserve">ve. </w:t>
      </w:r>
    </w:p>
    <w:p w14:paraId="3DE2051B" w14:textId="13FF222D" w:rsidR="00931C48" w:rsidRDefault="000D2F6F" w:rsidP="000D2F6F">
      <w:pPr>
        <w:pStyle w:val="Heading1"/>
        <w:rPr>
          <w:b/>
          <w:bCs/>
          <w:color w:val="000000" w:themeColor="text1"/>
        </w:rPr>
      </w:pPr>
      <w:bookmarkStart w:id="2" w:name="_Toc75534661"/>
      <w:r>
        <w:rPr>
          <w:b/>
          <w:bCs/>
          <w:color w:val="000000" w:themeColor="text1"/>
        </w:rPr>
        <w:lastRenderedPageBreak/>
        <w:t>Patient and Portal Flow</w:t>
      </w:r>
      <w:bookmarkEnd w:id="2"/>
      <w:r>
        <w:rPr>
          <w:b/>
          <w:bCs/>
          <w:color w:val="000000" w:themeColor="text1"/>
        </w:rPr>
        <w:t xml:space="preserve"> </w:t>
      </w:r>
    </w:p>
    <w:p w14:paraId="2063EBFB" w14:textId="7ADC6F68" w:rsidR="000D2F6F" w:rsidRDefault="00267E42" w:rsidP="000D2F6F">
      <w:r>
        <w:rPr>
          <w:noProof/>
        </w:rPr>
        <w:drawing>
          <wp:inline distT="0" distB="0" distL="0" distR="0" wp14:anchorId="3A2D7C96" wp14:editId="7B58F11C">
            <wp:extent cx="7444740" cy="555285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54160" cy="5559881"/>
                    </a:xfrm>
                    <a:prstGeom prst="rect">
                      <a:avLst/>
                    </a:prstGeom>
                  </pic:spPr>
                </pic:pic>
              </a:graphicData>
            </a:graphic>
          </wp:inline>
        </w:drawing>
      </w:r>
    </w:p>
    <w:p w14:paraId="79561EE2" w14:textId="6C9B88EE" w:rsidR="00931C48" w:rsidRDefault="00F22EF2" w:rsidP="00931C48">
      <w:pPr>
        <w:pStyle w:val="Heading1"/>
        <w:rPr>
          <w:b/>
          <w:bCs/>
          <w:color w:val="000000" w:themeColor="text1"/>
        </w:rPr>
      </w:pPr>
      <w:bookmarkStart w:id="3" w:name="_Toc75534662"/>
      <w:r>
        <w:rPr>
          <w:b/>
          <w:bCs/>
          <w:color w:val="000000" w:themeColor="text1"/>
        </w:rPr>
        <w:lastRenderedPageBreak/>
        <w:t>Del</w:t>
      </w:r>
      <w:r w:rsidR="00062BEB">
        <w:rPr>
          <w:b/>
          <w:bCs/>
          <w:color w:val="000000" w:themeColor="text1"/>
        </w:rPr>
        <w:t>egate</w:t>
      </w:r>
      <w:r w:rsidR="00931C48">
        <w:rPr>
          <w:b/>
          <w:bCs/>
          <w:color w:val="000000" w:themeColor="text1"/>
        </w:rPr>
        <w:t xml:space="preserve"> and Portal Flow</w:t>
      </w:r>
      <w:bookmarkEnd w:id="3"/>
      <w:r w:rsidR="006C42D3">
        <w:rPr>
          <w:b/>
          <w:bCs/>
          <w:color w:val="000000" w:themeColor="text1"/>
        </w:rPr>
        <w:t xml:space="preserve"> </w:t>
      </w:r>
    </w:p>
    <w:p w14:paraId="4850D043" w14:textId="4CF0956C" w:rsidR="00964B88" w:rsidRDefault="00267E42" w:rsidP="00B46782">
      <w:r>
        <w:rPr>
          <w:noProof/>
        </w:rPr>
        <w:drawing>
          <wp:inline distT="0" distB="0" distL="0" distR="0" wp14:anchorId="44A12281" wp14:editId="70620165">
            <wp:extent cx="6515100" cy="564955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18672" cy="5652656"/>
                    </a:xfrm>
                    <a:prstGeom prst="rect">
                      <a:avLst/>
                    </a:prstGeom>
                  </pic:spPr>
                </pic:pic>
              </a:graphicData>
            </a:graphic>
          </wp:inline>
        </w:drawing>
      </w:r>
    </w:p>
    <w:sectPr w:rsidR="00964B88" w:rsidSect="000D2F6F">
      <w:pgSz w:w="15840" w:h="12240" w:orient="landscape"/>
      <w:pgMar w:top="1440" w:right="720" w:bottom="14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149C8" w14:textId="77777777" w:rsidR="00AC7B53" w:rsidRDefault="00AC7B53" w:rsidP="00931C48">
      <w:pPr>
        <w:spacing w:after="0" w:line="240" w:lineRule="auto"/>
      </w:pPr>
      <w:r>
        <w:separator/>
      </w:r>
    </w:p>
  </w:endnote>
  <w:endnote w:type="continuationSeparator" w:id="0">
    <w:p w14:paraId="4181F757" w14:textId="77777777" w:rsidR="00AC7B53" w:rsidRDefault="00AC7B53" w:rsidP="00931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126503"/>
      <w:docPartObj>
        <w:docPartGallery w:val="Page Numbers (Bottom of Page)"/>
        <w:docPartUnique/>
      </w:docPartObj>
    </w:sdtPr>
    <w:sdtEndPr>
      <w:rPr>
        <w:noProof/>
      </w:rPr>
    </w:sdtEndPr>
    <w:sdtContent>
      <w:p w14:paraId="3C222D35" w14:textId="097BA4AD" w:rsidR="005F38A4" w:rsidRDefault="005F38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1786D6" w14:textId="77777777" w:rsidR="005F38A4" w:rsidRDefault="005F3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93B14" w14:textId="77777777" w:rsidR="00AC7B53" w:rsidRDefault="00AC7B53" w:rsidP="00931C48">
      <w:pPr>
        <w:spacing w:after="0" w:line="240" w:lineRule="auto"/>
      </w:pPr>
      <w:r>
        <w:separator/>
      </w:r>
    </w:p>
  </w:footnote>
  <w:footnote w:type="continuationSeparator" w:id="0">
    <w:p w14:paraId="320D45EE" w14:textId="77777777" w:rsidR="00AC7B53" w:rsidRDefault="00AC7B53" w:rsidP="00931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E7B8D"/>
    <w:multiLevelType w:val="multilevel"/>
    <w:tmpl w:val="003AE81A"/>
    <w:lvl w:ilvl="0">
      <w:start w:val="1"/>
      <w:numFmt w:val="upperRoman"/>
      <w:pStyle w:val="Heading1"/>
      <w:lvlText w:val="%1."/>
      <w:lvlJc w:val="left"/>
      <w:pPr>
        <w:ind w:left="0" w:firstLine="0"/>
      </w:pPr>
      <w:rPr>
        <w:b/>
        <w:bCs/>
        <w:color w:val="auto"/>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3DDD0149"/>
    <w:multiLevelType w:val="hybridMultilevel"/>
    <w:tmpl w:val="FB1ACF7C"/>
    <w:lvl w:ilvl="0" w:tplc="752A6790">
      <w:start w:val="1"/>
      <w:numFmt w:val="bullet"/>
      <w:lvlText w:val="•"/>
      <w:lvlJc w:val="left"/>
      <w:pPr>
        <w:tabs>
          <w:tab w:val="num" w:pos="720"/>
        </w:tabs>
        <w:ind w:left="720" w:hanging="360"/>
      </w:pPr>
      <w:rPr>
        <w:rFonts w:ascii="Arial" w:hAnsi="Arial" w:hint="default"/>
      </w:rPr>
    </w:lvl>
    <w:lvl w:ilvl="1" w:tplc="971CA2EA" w:tentative="1">
      <w:start w:val="1"/>
      <w:numFmt w:val="bullet"/>
      <w:lvlText w:val="•"/>
      <w:lvlJc w:val="left"/>
      <w:pPr>
        <w:tabs>
          <w:tab w:val="num" w:pos="1440"/>
        </w:tabs>
        <w:ind w:left="1440" w:hanging="360"/>
      </w:pPr>
      <w:rPr>
        <w:rFonts w:ascii="Arial" w:hAnsi="Arial" w:hint="default"/>
      </w:rPr>
    </w:lvl>
    <w:lvl w:ilvl="2" w:tplc="8BBC1774" w:tentative="1">
      <w:start w:val="1"/>
      <w:numFmt w:val="bullet"/>
      <w:lvlText w:val="•"/>
      <w:lvlJc w:val="left"/>
      <w:pPr>
        <w:tabs>
          <w:tab w:val="num" w:pos="2160"/>
        </w:tabs>
        <w:ind w:left="2160" w:hanging="360"/>
      </w:pPr>
      <w:rPr>
        <w:rFonts w:ascii="Arial" w:hAnsi="Arial" w:hint="default"/>
      </w:rPr>
    </w:lvl>
    <w:lvl w:ilvl="3" w:tplc="07664D1C" w:tentative="1">
      <w:start w:val="1"/>
      <w:numFmt w:val="bullet"/>
      <w:lvlText w:val="•"/>
      <w:lvlJc w:val="left"/>
      <w:pPr>
        <w:tabs>
          <w:tab w:val="num" w:pos="2880"/>
        </w:tabs>
        <w:ind w:left="2880" w:hanging="360"/>
      </w:pPr>
      <w:rPr>
        <w:rFonts w:ascii="Arial" w:hAnsi="Arial" w:hint="default"/>
      </w:rPr>
    </w:lvl>
    <w:lvl w:ilvl="4" w:tplc="B0F43682" w:tentative="1">
      <w:start w:val="1"/>
      <w:numFmt w:val="bullet"/>
      <w:lvlText w:val="•"/>
      <w:lvlJc w:val="left"/>
      <w:pPr>
        <w:tabs>
          <w:tab w:val="num" w:pos="3600"/>
        </w:tabs>
        <w:ind w:left="3600" w:hanging="360"/>
      </w:pPr>
      <w:rPr>
        <w:rFonts w:ascii="Arial" w:hAnsi="Arial" w:hint="default"/>
      </w:rPr>
    </w:lvl>
    <w:lvl w:ilvl="5" w:tplc="A0D4793E" w:tentative="1">
      <w:start w:val="1"/>
      <w:numFmt w:val="bullet"/>
      <w:lvlText w:val="•"/>
      <w:lvlJc w:val="left"/>
      <w:pPr>
        <w:tabs>
          <w:tab w:val="num" w:pos="4320"/>
        </w:tabs>
        <w:ind w:left="4320" w:hanging="360"/>
      </w:pPr>
      <w:rPr>
        <w:rFonts w:ascii="Arial" w:hAnsi="Arial" w:hint="default"/>
      </w:rPr>
    </w:lvl>
    <w:lvl w:ilvl="6" w:tplc="E1F6443E" w:tentative="1">
      <w:start w:val="1"/>
      <w:numFmt w:val="bullet"/>
      <w:lvlText w:val="•"/>
      <w:lvlJc w:val="left"/>
      <w:pPr>
        <w:tabs>
          <w:tab w:val="num" w:pos="5040"/>
        </w:tabs>
        <w:ind w:left="5040" w:hanging="360"/>
      </w:pPr>
      <w:rPr>
        <w:rFonts w:ascii="Arial" w:hAnsi="Arial" w:hint="default"/>
      </w:rPr>
    </w:lvl>
    <w:lvl w:ilvl="7" w:tplc="783C3A8C" w:tentative="1">
      <w:start w:val="1"/>
      <w:numFmt w:val="bullet"/>
      <w:lvlText w:val="•"/>
      <w:lvlJc w:val="left"/>
      <w:pPr>
        <w:tabs>
          <w:tab w:val="num" w:pos="5760"/>
        </w:tabs>
        <w:ind w:left="5760" w:hanging="360"/>
      </w:pPr>
      <w:rPr>
        <w:rFonts w:ascii="Arial" w:hAnsi="Arial" w:hint="default"/>
      </w:rPr>
    </w:lvl>
    <w:lvl w:ilvl="8" w:tplc="5E988A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DB7A10"/>
    <w:multiLevelType w:val="hybridMultilevel"/>
    <w:tmpl w:val="34A8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E2CB5"/>
    <w:multiLevelType w:val="hybridMultilevel"/>
    <w:tmpl w:val="D246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B2271"/>
    <w:multiLevelType w:val="hybridMultilevel"/>
    <w:tmpl w:val="F9748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C616D"/>
    <w:multiLevelType w:val="hybridMultilevel"/>
    <w:tmpl w:val="A3265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E3141"/>
    <w:multiLevelType w:val="hybridMultilevel"/>
    <w:tmpl w:val="865E5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4D"/>
    <w:rsid w:val="0003469B"/>
    <w:rsid w:val="0003733D"/>
    <w:rsid w:val="000560B1"/>
    <w:rsid w:val="00062BEB"/>
    <w:rsid w:val="00081964"/>
    <w:rsid w:val="00081A78"/>
    <w:rsid w:val="000957C5"/>
    <w:rsid w:val="00096603"/>
    <w:rsid w:val="000D2F6F"/>
    <w:rsid w:val="001157A1"/>
    <w:rsid w:val="00190D8E"/>
    <w:rsid w:val="001A2E76"/>
    <w:rsid w:val="001A6437"/>
    <w:rsid w:val="00221389"/>
    <w:rsid w:val="00267E42"/>
    <w:rsid w:val="002E1F34"/>
    <w:rsid w:val="002E6366"/>
    <w:rsid w:val="00360632"/>
    <w:rsid w:val="00396FE5"/>
    <w:rsid w:val="003A4BB0"/>
    <w:rsid w:val="004653ED"/>
    <w:rsid w:val="00466DB3"/>
    <w:rsid w:val="00474820"/>
    <w:rsid w:val="004D4839"/>
    <w:rsid w:val="004F5613"/>
    <w:rsid w:val="0052449D"/>
    <w:rsid w:val="005C5B94"/>
    <w:rsid w:val="005F38A4"/>
    <w:rsid w:val="00614DBC"/>
    <w:rsid w:val="006536B2"/>
    <w:rsid w:val="00664FC2"/>
    <w:rsid w:val="006973C0"/>
    <w:rsid w:val="006C42D3"/>
    <w:rsid w:val="006C49A6"/>
    <w:rsid w:val="006C5407"/>
    <w:rsid w:val="006F171D"/>
    <w:rsid w:val="006F2E7B"/>
    <w:rsid w:val="0074468E"/>
    <w:rsid w:val="007D55A0"/>
    <w:rsid w:val="007F34D1"/>
    <w:rsid w:val="00813E81"/>
    <w:rsid w:val="00896FF2"/>
    <w:rsid w:val="008A6942"/>
    <w:rsid w:val="008B33AF"/>
    <w:rsid w:val="008E6A46"/>
    <w:rsid w:val="008E744D"/>
    <w:rsid w:val="00917ED2"/>
    <w:rsid w:val="00931C48"/>
    <w:rsid w:val="00964B88"/>
    <w:rsid w:val="00984423"/>
    <w:rsid w:val="009A5105"/>
    <w:rsid w:val="009F6E20"/>
    <w:rsid w:val="00A31F17"/>
    <w:rsid w:val="00A343DC"/>
    <w:rsid w:val="00A36913"/>
    <w:rsid w:val="00AC7B53"/>
    <w:rsid w:val="00B20E48"/>
    <w:rsid w:val="00B464F4"/>
    <w:rsid w:val="00B46782"/>
    <w:rsid w:val="00BE0C15"/>
    <w:rsid w:val="00BF734D"/>
    <w:rsid w:val="00C26D17"/>
    <w:rsid w:val="00CB00FC"/>
    <w:rsid w:val="00CB1432"/>
    <w:rsid w:val="00CC3415"/>
    <w:rsid w:val="00D1247F"/>
    <w:rsid w:val="00D6064E"/>
    <w:rsid w:val="00DF7875"/>
    <w:rsid w:val="00E71A56"/>
    <w:rsid w:val="00E82731"/>
    <w:rsid w:val="00EC450E"/>
    <w:rsid w:val="00ED6F58"/>
    <w:rsid w:val="00F22EF2"/>
    <w:rsid w:val="00F87397"/>
    <w:rsid w:val="00F96D5E"/>
    <w:rsid w:val="00FA1838"/>
    <w:rsid w:val="00FA6B21"/>
    <w:rsid w:val="00FD7F09"/>
    <w:rsid w:val="00FE1A11"/>
    <w:rsid w:val="00FE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7839"/>
  <w15:chartTrackingRefBased/>
  <w15:docId w15:val="{CC80D520-B700-486A-92B6-1921D399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82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482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482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7482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7482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7482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7482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7482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482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8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48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748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748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748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748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748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748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482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74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4820"/>
    <w:pPr>
      <w:spacing w:after="0" w:line="240" w:lineRule="auto"/>
      <w:ind w:left="720"/>
    </w:pPr>
    <w:rPr>
      <w:rFonts w:ascii="Calibri" w:hAnsi="Calibri" w:cs="Calibri"/>
    </w:rPr>
  </w:style>
  <w:style w:type="table" w:styleId="GridTable4-Accent1">
    <w:name w:val="Grid Table 4 Accent 1"/>
    <w:basedOn w:val="TableNormal"/>
    <w:uiPriority w:val="49"/>
    <w:rsid w:val="0047482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931C4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31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C48"/>
  </w:style>
  <w:style w:type="paragraph" w:styleId="Footer">
    <w:name w:val="footer"/>
    <w:basedOn w:val="Normal"/>
    <w:link w:val="FooterChar"/>
    <w:uiPriority w:val="99"/>
    <w:unhideWhenUsed/>
    <w:rsid w:val="00931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C48"/>
  </w:style>
  <w:style w:type="table" w:styleId="GridTable4-Accent5">
    <w:name w:val="Grid Table 4 Accent 5"/>
    <w:basedOn w:val="TableNormal"/>
    <w:uiPriority w:val="49"/>
    <w:rsid w:val="00B4678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1">
    <w:name w:val="toc 1"/>
    <w:basedOn w:val="Normal"/>
    <w:next w:val="Normal"/>
    <w:autoRedefine/>
    <w:uiPriority w:val="39"/>
    <w:unhideWhenUsed/>
    <w:rsid w:val="006C42D3"/>
    <w:pPr>
      <w:tabs>
        <w:tab w:val="left" w:pos="440"/>
        <w:tab w:val="right" w:leader="dot" w:pos="9350"/>
      </w:tabs>
      <w:spacing w:before="120" w:after="120"/>
      <w:ind w:left="446" w:hanging="446"/>
    </w:pPr>
    <w:rPr>
      <w:rFonts w:cstheme="minorHAnsi"/>
      <w:b/>
      <w:bCs/>
      <w:caps/>
      <w:sz w:val="20"/>
      <w:szCs w:val="20"/>
    </w:rPr>
  </w:style>
  <w:style w:type="paragraph" w:styleId="TOC2">
    <w:name w:val="toc 2"/>
    <w:basedOn w:val="Normal"/>
    <w:next w:val="Normal"/>
    <w:autoRedefine/>
    <w:uiPriority w:val="39"/>
    <w:unhideWhenUsed/>
    <w:rsid w:val="00081964"/>
    <w:pPr>
      <w:spacing w:after="0"/>
      <w:ind w:left="220"/>
    </w:pPr>
    <w:rPr>
      <w:rFonts w:cstheme="minorHAnsi"/>
      <w:smallCaps/>
      <w:sz w:val="20"/>
      <w:szCs w:val="20"/>
    </w:rPr>
  </w:style>
  <w:style w:type="paragraph" w:styleId="TOC3">
    <w:name w:val="toc 3"/>
    <w:basedOn w:val="Normal"/>
    <w:next w:val="Normal"/>
    <w:autoRedefine/>
    <w:uiPriority w:val="39"/>
    <w:unhideWhenUsed/>
    <w:rsid w:val="00081964"/>
    <w:pPr>
      <w:spacing w:after="0"/>
      <w:ind w:left="440"/>
    </w:pPr>
    <w:rPr>
      <w:rFonts w:cstheme="minorHAnsi"/>
      <w:i/>
      <w:iCs/>
      <w:sz w:val="20"/>
      <w:szCs w:val="20"/>
    </w:rPr>
  </w:style>
  <w:style w:type="paragraph" w:styleId="TOC4">
    <w:name w:val="toc 4"/>
    <w:basedOn w:val="Normal"/>
    <w:next w:val="Normal"/>
    <w:autoRedefine/>
    <w:uiPriority w:val="39"/>
    <w:unhideWhenUsed/>
    <w:rsid w:val="00081964"/>
    <w:pPr>
      <w:spacing w:after="0"/>
      <w:ind w:left="660"/>
    </w:pPr>
    <w:rPr>
      <w:rFonts w:cstheme="minorHAnsi"/>
      <w:sz w:val="18"/>
      <w:szCs w:val="18"/>
    </w:rPr>
  </w:style>
  <w:style w:type="paragraph" w:styleId="TOC5">
    <w:name w:val="toc 5"/>
    <w:basedOn w:val="Normal"/>
    <w:next w:val="Normal"/>
    <w:autoRedefine/>
    <w:uiPriority w:val="39"/>
    <w:unhideWhenUsed/>
    <w:rsid w:val="00081964"/>
    <w:pPr>
      <w:spacing w:after="0"/>
      <w:ind w:left="880"/>
    </w:pPr>
    <w:rPr>
      <w:rFonts w:cstheme="minorHAnsi"/>
      <w:sz w:val="18"/>
      <w:szCs w:val="18"/>
    </w:rPr>
  </w:style>
  <w:style w:type="paragraph" w:styleId="TOC6">
    <w:name w:val="toc 6"/>
    <w:basedOn w:val="Normal"/>
    <w:next w:val="Normal"/>
    <w:autoRedefine/>
    <w:uiPriority w:val="39"/>
    <w:unhideWhenUsed/>
    <w:rsid w:val="00081964"/>
    <w:pPr>
      <w:spacing w:after="0"/>
      <w:ind w:left="1100"/>
    </w:pPr>
    <w:rPr>
      <w:rFonts w:cstheme="minorHAnsi"/>
      <w:sz w:val="18"/>
      <w:szCs w:val="18"/>
    </w:rPr>
  </w:style>
  <w:style w:type="paragraph" w:styleId="TOC7">
    <w:name w:val="toc 7"/>
    <w:basedOn w:val="Normal"/>
    <w:next w:val="Normal"/>
    <w:autoRedefine/>
    <w:uiPriority w:val="39"/>
    <w:unhideWhenUsed/>
    <w:rsid w:val="00081964"/>
    <w:pPr>
      <w:spacing w:after="0"/>
      <w:ind w:left="1320"/>
    </w:pPr>
    <w:rPr>
      <w:rFonts w:cstheme="minorHAnsi"/>
      <w:sz w:val="18"/>
      <w:szCs w:val="18"/>
    </w:rPr>
  </w:style>
  <w:style w:type="paragraph" w:styleId="TOC8">
    <w:name w:val="toc 8"/>
    <w:basedOn w:val="Normal"/>
    <w:next w:val="Normal"/>
    <w:autoRedefine/>
    <w:uiPriority w:val="39"/>
    <w:unhideWhenUsed/>
    <w:rsid w:val="00081964"/>
    <w:pPr>
      <w:spacing w:after="0"/>
      <w:ind w:left="1540"/>
    </w:pPr>
    <w:rPr>
      <w:rFonts w:cstheme="minorHAnsi"/>
      <w:sz w:val="18"/>
      <w:szCs w:val="18"/>
    </w:rPr>
  </w:style>
  <w:style w:type="paragraph" w:styleId="TOC9">
    <w:name w:val="toc 9"/>
    <w:basedOn w:val="Normal"/>
    <w:next w:val="Normal"/>
    <w:autoRedefine/>
    <w:uiPriority w:val="39"/>
    <w:unhideWhenUsed/>
    <w:rsid w:val="00081964"/>
    <w:pPr>
      <w:spacing w:after="0"/>
      <w:ind w:left="1760"/>
    </w:pPr>
    <w:rPr>
      <w:rFonts w:cstheme="minorHAnsi"/>
      <w:sz w:val="18"/>
      <w:szCs w:val="18"/>
    </w:rPr>
  </w:style>
  <w:style w:type="character" w:styleId="Hyperlink">
    <w:name w:val="Hyperlink"/>
    <w:basedOn w:val="DefaultParagraphFont"/>
    <w:uiPriority w:val="99"/>
    <w:unhideWhenUsed/>
    <w:rsid w:val="000819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709309">
      <w:bodyDiv w:val="1"/>
      <w:marLeft w:val="0"/>
      <w:marRight w:val="0"/>
      <w:marTop w:val="0"/>
      <w:marBottom w:val="0"/>
      <w:divBdr>
        <w:top w:val="none" w:sz="0" w:space="0" w:color="auto"/>
        <w:left w:val="none" w:sz="0" w:space="0" w:color="auto"/>
        <w:bottom w:val="none" w:sz="0" w:space="0" w:color="auto"/>
        <w:right w:val="none" w:sz="0" w:space="0" w:color="auto"/>
      </w:divBdr>
    </w:div>
    <w:div w:id="1193498781">
      <w:bodyDiv w:val="1"/>
      <w:marLeft w:val="0"/>
      <w:marRight w:val="0"/>
      <w:marTop w:val="0"/>
      <w:marBottom w:val="0"/>
      <w:divBdr>
        <w:top w:val="none" w:sz="0" w:space="0" w:color="auto"/>
        <w:left w:val="none" w:sz="0" w:space="0" w:color="auto"/>
        <w:bottom w:val="none" w:sz="0" w:space="0" w:color="auto"/>
        <w:right w:val="none" w:sz="0" w:space="0" w:color="auto"/>
      </w:divBdr>
    </w:div>
    <w:div w:id="1449931469">
      <w:bodyDiv w:val="1"/>
      <w:marLeft w:val="0"/>
      <w:marRight w:val="0"/>
      <w:marTop w:val="0"/>
      <w:marBottom w:val="0"/>
      <w:divBdr>
        <w:top w:val="none" w:sz="0" w:space="0" w:color="auto"/>
        <w:left w:val="none" w:sz="0" w:space="0" w:color="auto"/>
        <w:bottom w:val="none" w:sz="0" w:space="0" w:color="auto"/>
        <w:right w:val="none" w:sz="0" w:space="0" w:color="auto"/>
      </w:divBdr>
      <w:divsChild>
        <w:div w:id="1053578552">
          <w:marLeft w:val="806"/>
          <w:marRight w:val="0"/>
          <w:marTop w:val="0"/>
          <w:marBottom w:val="0"/>
          <w:divBdr>
            <w:top w:val="none" w:sz="0" w:space="0" w:color="auto"/>
            <w:left w:val="none" w:sz="0" w:space="0" w:color="auto"/>
            <w:bottom w:val="none" w:sz="0" w:space="0" w:color="auto"/>
            <w:right w:val="none" w:sz="0" w:space="0" w:color="auto"/>
          </w:divBdr>
        </w:div>
      </w:divsChild>
    </w:div>
    <w:div w:id="1539464036">
      <w:bodyDiv w:val="1"/>
      <w:marLeft w:val="0"/>
      <w:marRight w:val="0"/>
      <w:marTop w:val="0"/>
      <w:marBottom w:val="0"/>
      <w:divBdr>
        <w:top w:val="none" w:sz="0" w:space="0" w:color="auto"/>
        <w:left w:val="none" w:sz="0" w:space="0" w:color="auto"/>
        <w:bottom w:val="none" w:sz="0" w:space="0" w:color="auto"/>
        <w:right w:val="none" w:sz="0" w:space="0" w:color="auto"/>
      </w:divBdr>
    </w:div>
    <w:div w:id="207396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C94DA-EF1D-4DED-9C46-BD714D271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4</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 Bradford J. (GovernmentCIO)</dc:creator>
  <cp:keywords/>
  <dc:description/>
  <cp:lastModifiedBy>Bowers, Kenneth A (SAIC)</cp:lastModifiedBy>
  <cp:revision>31</cp:revision>
  <dcterms:created xsi:type="dcterms:W3CDTF">2021-04-12T19:05:00Z</dcterms:created>
  <dcterms:modified xsi:type="dcterms:W3CDTF">2021-06-26T00:31:00Z</dcterms:modified>
</cp:coreProperties>
</file>