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120" w:after="40"/>
        <w:jc w:val="center"/>
      </w:pPr>
      <w:r>
        <w:rPr>
          <w:rFonts w:ascii="Arial" w:hAnsi="Arial" w:cs="Arial"/>
          <w:b/>
          <w:i w:val="0"/>
          <w:color w:val="1F3A5F"/>
          <w:sz w:val="44"/>
          <w:rtl/>
        </w:rPr>
        <w:t>عقد شراكة والتزام</w:t>
      </w:r>
    </w:p>
    <w:p>
      <w:pPr>
        <w:bidi/>
        <w:spacing w:before="0" w:after="200"/>
        <w:jc w:val="center"/>
      </w:pPr>
      <w:r>
        <w:rPr>
          <w:rFonts w:ascii="Arial" w:hAnsi="Arial" w:cs="Arial"/>
          <w:b w:val="0"/>
          <w:i w:val="0"/>
          <w:color w:val="B8860B"/>
          <w:sz w:val="28"/>
          <w:rtl/>
        </w:rPr>
        <w:t>ــــــــــــــــــــــــــــ</w:t>
      </w:r>
    </w:p>
    <w:p>
      <w:pPr>
        <w:bidi/>
        <w:spacing w:before="0" w:after="120"/>
        <w:jc w:val="right"/>
      </w:pPr>
      <w:r>
        <w:rPr>
          <w:rFonts w:ascii="Arial" w:hAnsi="Arial" w:cs="Arial"/>
          <w:b/>
          <w:i w:val="0"/>
          <w:sz w:val="24"/>
          <w:rtl/>
        </w:rPr>
        <w:t>بين الطرفين الموقّعين أدناه:</w:t>
      </w:r>
    </w:p>
    <w:p>
      <w:pPr>
        <w:bidi/>
        <w:spacing w:before="0" w:after="120"/>
        <w:jc w:val="right"/>
      </w:pPr>
      <w:r>
        <w:rPr>
          <w:rFonts w:ascii="Arial" w:hAnsi="Arial" w:cs="Arial"/>
          <w:b w:val="0"/>
          <w:i w:val="0"/>
          <w:sz w:val="24"/>
          <w:rtl/>
        </w:rPr>
        <w:t>الشركة: Depart Travel Services، شركة مؤسّسة قانونيًا وفقًا للتشريع التونسي، ويمثّلها ممثّلها القانوني السيّد العمراني أيمن، صاحب بطاقة التعريف الوطنية عدد 09107429 الصادرة بتاريخ 29/09/2022، ويُشار إليها فيما يلي بـ «الوكالة».</w:t>
      </w:r>
    </w:p>
    <w:p>
      <w:pPr>
        <w:bidi/>
        <w:spacing w:before="0" w:after="120"/>
        <w:jc w:val="right"/>
      </w:pPr>
      <w:r>
        <w:rPr>
          <w:rFonts w:ascii="Arial" w:hAnsi="Arial" w:cs="Arial"/>
          <w:b w:val="0"/>
          <w:i w:val="0"/>
          <w:sz w:val="24"/>
          <w:rtl/>
        </w:rPr>
        <w:t>والسيّد الفاتح الهليّل، صاحب بطاقة التعريف الوطنية عدد 08212752 الصادرة بتاريخ 23/12/2009، القاطن بـ: بني خداش – مدنين، ويُشار إليه فيما يلي بـ «المستثمر».</w:t>
      </w:r>
    </w:p>
    <w:p>
      <w:pPr>
        <w:bidi/>
        <w:spacing w:before="0" w:after="160"/>
        <w:jc w:val="right"/>
      </w:pPr>
      <w:r>
        <w:rPr>
          <w:rFonts w:ascii="Arial" w:hAnsi="Arial" w:cs="Arial"/>
          <w:b w:val="0"/>
          <w:i w:val="0"/>
          <w:sz w:val="24"/>
          <w:rtl/>
        </w:rPr>
        <w:t>ويُشار إليهما معًا بـ «الطرفين».</w:t>
      </w:r>
    </w:p>
    <w:p>
      <w:pPr>
        <w:bidi/>
        <w:spacing w:before="200" w:after="80"/>
        <w:jc w:val="right"/>
        <w:pBdr>
          <w:bottom w:val="single" w:sz="6" w:space="2" w:color="B8860B"/>
        </w:pBdr>
      </w:pPr>
      <w:r>
        <w:rPr>
          <w:rFonts w:ascii="Arial" w:hAnsi="Arial" w:cs="Arial"/>
          <w:b/>
          <w:i w:val="0"/>
          <w:color w:val="1F3A5F"/>
          <w:sz w:val="27"/>
          <w:rtl/>
        </w:rPr>
        <w:t>الفصل 1 – موضوع العقد</w:t>
      </w:r>
    </w:p>
    <w:p>
      <w:pPr>
        <w:bidi/>
        <w:spacing w:before="0" w:after="120"/>
        <w:jc w:val="right"/>
      </w:pPr>
      <w:r>
        <w:rPr>
          <w:rFonts w:ascii="Arial" w:hAnsi="Arial" w:cs="Arial"/>
          <w:b w:val="0"/>
          <w:i w:val="0"/>
          <w:sz w:val="24"/>
          <w:rtl/>
        </w:rPr>
        <w:t>يهدف هذا العقد إلى تحديد حقوق والتزامات الطرفين فيما يتعلق بالسيّارة التالية:</w:t>
      </w:r>
    </w:p>
    <w:p>
      <w:pPr>
        <w:bidi/>
        <w:spacing w:before="0" w:after="120"/>
        <w:jc w:val="right"/>
      </w:pPr>
      <w:r>
        <w:rPr>
          <w:rFonts w:ascii="Arial" w:hAnsi="Arial" w:cs="Arial"/>
          <w:b/>
          <w:i w:val="0"/>
          <w:sz w:val="24"/>
          <w:rtl/>
        </w:rPr>
        <w:t>رقم التسجيل: 262 تونس 1043</w:t>
      </w:r>
    </w:p>
    <w:p>
      <w:pPr>
        <w:bidi/>
        <w:spacing w:before="0" w:after="120"/>
        <w:jc w:val="right"/>
      </w:pPr>
      <w:r>
        <w:rPr>
          <w:rFonts w:ascii="Arial" w:hAnsi="Arial" w:cs="Arial"/>
          <w:b w:val="0"/>
          <w:i w:val="0"/>
          <w:sz w:val="24"/>
          <w:rtl/>
        </w:rPr>
        <w:t>المُقتناة عن طريق الإيجار المالي (Leasing) باسم Depart Travel Services.</w:t>
      </w:r>
    </w:p>
    <w:p>
      <w:pPr>
        <w:bidi/>
        <w:spacing w:before="0" w:after="120"/>
        <w:jc w:val="right"/>
      </w:pPr>
      <w:r>
        <w:rPr>
          <w:rFonts w:ascii="Arial" w:hAnsi="Arial" w:cs="Arial"/>
          <w:b w:val="0"/>
          <w:i w:val="0"/>
          <w:sz w:val="24"/>
          <w:rtl/>
        </w:rPr>
        <w:t>يقرّ الطرفان بأنّ السيّارة مسجّلة قانونيًا باسم الوكالة طيلة مدّة الإيجار المالي، غير أنّها مُقتناة لفائدة المصلحة الاقتصادية للسيّد الفاتح الهليّل وفق شروط هذا العقد.</w:t>
      </w:r>
    </w:p>
    <w:p>
      <w:pPr>
        <w:bidi/>
        <w:spacing w:before="200" w:after="80"/>
        <w:jc w:val="right"/>
        <w:pBdr>
          <w:bottom w:val="single" w:sz="6" w:space="2" w:color="B8860B"/>
        </w:pBdr>
      </w:pPr>
      <w:r>
        <w:rPr>
          <w:rFonts w:ascii="Arial" w:hAnsi="Arial" w:cs="Arial"/>
          <w:b/>
          <w:i w:val="0"/>
          <w:color w:val="1F3A5F"/>
          <w:sz w:val="27"/>
          <w:rtl/>
        </w:rPr>
        <w:t>الفصل 2 – مساهمة المستثمر</w:t>
      </w:r>
    </w:p>
    <w:p>
      <w:pPr>
        <w:bidi/>
        <w:spacing w:before="0" w:after="120"/>
        <w:jc w:val="right"/>
      </w:pPr>
      <w:r>
        <w:rPr>
          <w:rFonts w:ascii="Arial" w:hAnsi="Arial" w:cs="Arial"/>
          <w:b w:val="0"/>
          <w:i w:val="0"/>
          <w:sz w:val="24"/>
          <w:rtl/>
        </w:rPr>
        <w:t>يصرّح السيّد الفاتح الهليّل بأنّه دفع للوكالة مبلغ سبعة آلاف دينار تونسي (7000 د.ت) على سبيل التسبقة لاقتناء السيّارة. وتقرّ الوكالة بتسلّم هذا المبلغ.</w:t>
      </w:r>
    </w:p>
    <w:p>
      <w:pPr>
        <w:bidi/>
        <w:spacing w:before="200" w:after="80"/>
        <w:jc w:val="right"/>
        <w:pBdr>
          <w:bottom w:val="single" w:sz="6" w:space="2" w:color="B8860B"/>
        </w:pBdr>
      </w:pPr>
      <w:r>
        <w:rPr>
          <w:rFonts w:ascii="Arial" w:hAnsi="Arial" w:cs="Arial"/>
          <w:b/>
          <w:i w:val="0"/>
          <w:color w:val="1F3A5F"/>
          <w:sz w:val="27"/>
          <w:rtl/>
        </w:rPr>
        <w:t>الفصل 3 – استغلال السيّارة</w:t>
      </w:r>
    </w:p>
    <w:p>
      <w:pPr>
        <w:bidi/>
        <w:spacing w:before="0" w:after="120"/>
        <w:jc w:val="right"/>
      </w:pPr>
      <w:r>
        <w:rPr>
          <w:rFonts w:ascii="Arial" w:hAnsi="Arial" w:cs="Arial"/>
          <w:b w:val="0"/>
          <w:i w:val="0"/>
          <w:sz w:val="24"/>
          <w:rtl/>
        </w:rPr>
        <w:t>تُستغلّ السيّارة حصريًا من قبل الوكالة في إطار نشاطها المهني. وتتولّى الوكالة:</w:t>
      </w:r>
    </w:p>
    <w:p>
      <w:pPr>
        <w:bidi/>
        <w:spacing w:after="60"/>
        <w:ind w:right="340"/>
        <w:jc w:val="right"/>
      </w:pPr>
      <w:r>
        <w:rPr>
          <w:rFonts w:ascii="Arial" w:hAnsi="Arial" w:cs="Arial"/>
          <w:sz w:val="24"/>
          <w:rtl/>
        </w:rPr>
        <w:t>• إدارة الاستغلال؛</w:t>
      </w:r>
    </w:p>
    <w:p>
      <w:pPr>
        <w:bidi/>
        <w:spacing w:after="60"/>
        <w:ind w:right="340"/>
        <w:jc w:val="right"/>
      </w:pPr>
      <w:r>
        <w:rPr>
          <w:rFonts w:ascii="Arial" w:hAnsi="Arial" w:cs="Arial"/>
          <w:sz w:val="24"/>
          <w:rtl/>
        </w:rPr>
        <w:t>• البحث عن الحرفاء؛</w:t>
      </w:r>
    </w:p>
    <w:p>
      <w:pPr>
        <w:bidi/>
        <w:spacing w:after="60"/>
        <w:ind w:right="340"/>
        <w:jc w:val="right"/>
      </w:pPr>
      <w:r>
        <w:rPr>
          <w:rFonts w:ascii="Arial" w:hAnsi="Arial" w:cs="Arial"/>
          <w:sz w:val="24"/>
          <w:rtl/>
        </w:rPr>
        <w:t>• تنظيم المهمّات؛</w:t>
      </w:r>
    </w:p>
    <w:p>
      <w:pPr>
        <w:bidi/>
        <w:spacing w:after="60"/>
        <w:ind w:right="340"/>
        <w:jc w:val="right"/>
      </w:pPr>
      <w:r>
        <w:rPr>
          <w:rFonts w:ascii="Arial" w:hAnsi="Arial" w:cs="Arial"/>
          <w:sz w:val="24"/>
          <w:rtl/>
        </w:rPr>
        <w:t>• المتابعة الإدارية لاستعمال السيّارة.</w:t>
      </w:r>
    </w:p>
    <w:p>
      <w:pPr>
        <w:bidi/>
        <w:spacing w:before="200" w:after="80"/>
        <w:jc w:val="right"/>
        <w:pBdr>
          <w:bottom w:val="single" w:sz="6" w:space="2" w:color="B8860B"/>
        </w:pBdr>
      </w:pPr>
      <w:r>
        <w:rPr>
          <w:rFonts w:ascii="Arial" w:hAnsi="Arial" w:cs="Arial"/>
          <w:b/>
          <w:i w:val="0"/>
          <w:color w:val="1F3A5F"/>
          <w:sz w:val="27"/>
          <w:rtl/>
        </w:rPr>
        <w:t>الفصل 4 – خلاص أقساط الإيجار المالي</w:t>
      </w:r>
    </w:p>
    <w:p>
      <w:pPr>
        <w:bidi/>
        <w:spacing w:before="0" w:after="120"/>
        <w:jc w:val="right"/>
      </w:pPr>
      <w:r>
        <w:rPr>
          <w:rFonts w:ascii="Arial" w:hAnsi="Arial" w:cs="Arial"/>
          <w:b w:val="0"/>
          <w:i w:val="0"/>
          <w:sz w:val="24"/>
          <w:rtl/>
        </w:rPr>
        <w:t>تلتزم الوكالة طيلة مدّة الإيجار المالي بخلاص جميع الأقساط المستحقّة لشركة الإيجار المالي على نفقتها الخاصّة وفي الآجال المحدّدة. ولا يمكن بأيّ حال من الأحوال تحميل عدم خلاص الأقساط للسيّد الفاتح الهليّل.</w:t>
      </w:r>
    </w:p>
    <w:p>
      <w:pPr>
        <w:bidi/>
        <w:spacing w:before="200" w:after="80"/>
        <w:jc w:val="right"/>
        <w:pBdr>
          <w:bottom w:val="single" w:sz="6" w:space="2" w:color="B8860B"/>
        </w:pBdr>
      </w:pPr>
      <w:r>
        <w:rPr>
          <w:rFonts w:ascii="Arial" w:hAnsi="Arial" w:cs="Arial"/>
          <w:b/>
          <w:i w:val="0"/>
          <w:color w:val="1F3A5F"/>
          <w:sz w:val="27"/>
          <w:rtl/>
        </w:rPr>
        <w:t>الفصل 5 – المصاريف المتعلّقة بالسيّارة</w:t>
      </w:r>
    </w:p>
    <w:p>
      <w:pPr>
        <w:bidi/>
        <w:spacing w:before="0" w:after="120"/>
        <w:jc w:val="right"/>
      </w:pPr>
      <w:r>
        <w:rPr>
          <w:rFonts w:ascii="Arial" w:hAnsi="Arial" w:cs="Arial"/>
          <w:b w:val="0"/>
          <w:i w:val="0"/>
          <w:sz w:val="24"/>
          <w:rtl/>
        </w:rPr>
        <w:t>تُوزّع المصاريف على النحو التالي:</w:t>
      </w:r>
    </w:p>
    <w:p>
      <w:pPr>
        <w:bidi/>
        <w:spacing w:before="40" w:after="120"/>
        <w:jc w:val="right"/>
      </w:pPr>
      <w:r>
        <w:rPr>
          <w:rFonts w:ascii="Arial" w:hAnsi="Arial" w:cs="Arial"/>
          <w:b/>
          <w:i w:val="0"/>
          <w:color w:val="1F3A5F"/>
          <w:sz w:val="24"/>
          <w:rtl/>
        </w:rPr>
        <w:t>على عاتق السيّد الفاتح الهليّل:</w:t>
      </w:r>
    </w:p>
    <w:p>
      <w:pPr>
        <w:bidi/>
        <w:spacing w:after="60"/>
        <w:ind w:right="340"/>
        <w:jc w:val="right"/>
      </w:pPr>
      <w:r>
        <w:rPr>
          <w:rFonts w:ascii="Arial" w:hAnsi="Arial" w:cs="Arial"/>
          <w:sz w:val="24"/>
          <w:rtl/>
        </w:rPr>
        <w:t>• تأمين السيّارة؛</w:t>
      </w:r>
    </w:p>
    <w:p>
      <w:pPr>
        <w:bidi/>
        <w:spacing w:after="60"/>
        <w:ind w:right="340"/>
        <w:jc w:val="right"/>
      </w:pPr>
      <w:r>
        <w:rPr>
          <w:rFonts w:ascii="Arial" w:hAnsi="Arial" w:cs="Arial"/>
          <w:sz w:val="24"/>
          <w:rtl/>
        </w:rPr>
        <w:t>• الوقود؛</w:t>
      </w:r>
    </w:p>
    <w:p>
      <w:pPr>
        <w:bidi/>
        <w:spacing w:after="60"/>
        <w:ind w:right="340"/>
        <w:jc w:val="right"/>
      </w:pPr>
      <w:r>
        <w:rPr>
          <w:rFonts w:ascii="Arial" w:hAnsi="Arial" w:cs="Arial"/>
          <w:sz w:val="24"/>
          <w:rtl/>
        </w:rPr>
        <w:t>• الصيانة العادية؛</w:t>
      </w:r>
    </w:p>
    <w:p>
      <w:pPr>
        <w:bidi/>
        <w:spacing w:after="60"/>
        <w:ind w:right="340"/>
        <w:jc w:val="right"/>
      </w:pPr>
      <w:r>
        <w:rPr>
          <w:rFonts w:ascii="Arial" w:hAnsi="Arial" w:cs="Arial"/>
          <w:sz w:val="24"/>
          <w:rtl/>
        </w:rPr>
        <w:t>• الإصلاحات الميكانيكية؛</w:t>
      </w:r>
    </w:p>
    <w:p>
      <w:pPr>
        <w:bidi/>
        <w:spacing w:after="60"/>
        <w:ind w:right="340"/>
        <w:jc w:val="right"/>
      </w:pPr>
      <w:r>
        <w:rPr>
          <w:rFonts w:ascii="Arial" w:hAnsi="Arial" w:cs="Arial"/>
          <w:sz w:val="24"/>
          <w:rtl/>
        </w:rPr>
        <w:t>• العجلات المطّاطية؛</w:t>
      </w:r>
    </w:p>
    <w:p>
      <w:pPr>
        <w:bidi/>
        <w:spacing w:after="60"/>
        <w:ind w:right="340"/>
        <w:jc w:val="right"/>
      </w:pPr>
      <w:r>
        <w:rPr>
          <w:rFonts w:ascii="Arial" w:hAnsi="Arial" w:cs="Arial"/>
          <w:sz w:val="24"/>
          <w:rtl/>
        </w:rPr>
        <w:t>• الفحوصات الفنية؛</w:t>
      </w:r>
    </w:p>
    <w:p>
      <w:pPr>
        <w:bidi/>
        <w:spacing w:after="60"/>
        <w:ind w:right="340"/>
        <w:jc w:val="right"/>
      </w:pPr>
      <w:r>
        <w:rPr>
          <w:rFonts w:ascii="Arial" w:hAnsi="Arial" w:cs="Arial"/>
          <w:sz w:val="24"/>
          <w:rtl/>
        </w:rPr>
        <w:t>• الأداءات وكلّ المصاريف الأخرى المتعلّقة بملكية السيّارة وصيانتها.</w:t>
      </w:r>
    </w:p>
    <w:p>
      <w:pPr>
        <w:bidi/>
        <w:spacing w:before="40" w:after="120"/>
        <w:jc w:val="right"/>
      </w:pPr>
      <w:r>
        <w:rPr>
          <w:rFonts w:ascii="Arial" w:hAnsi="Arial" w:cs="Arial"/>
          <w:b/>
          <w:i w:val="0"/>
          <w:color w:val="1F3A5F"/>
          <w:sz w:val="24"/>
          <w:rtl/>
        </w:rPr>
        <w:t>على عاتق الوكالة:</w:t>
      </w:r>
    </w:p>
    <w:p>
      <w:pPr>
        <w:bidi/>
        <w:spacing w:after="60"/>
        <w:ind w:right="340"/>
        <w:jc w:val="right"/>
      </w:pPr>
      <w:r>
        <w:rPr>
          <w:rFonts w:ascii="Arial" w:hAnsi="Arial" w:cs="Arial"/>
          <w:sz w:val="24"/>
          <w:rtl/>
        </w:rPr>
        <w:t>• أقساط الإيجار المالي؛</w:t>
      </w:r>
    </w:p>
    <w:p>
      <w:pPr>
        <w:bidi/>
        <w:spacing w:after="60"/>
        <w:ind w:right="340"/>
        <w:jc w:val="right"/>
      </w:pPr>
      <w:r>
        <w:rPr>
          <w:rFonts w:ascii="Arial" w:hAnsi="Arial" w:cs="Arial"/>
          <w:sz w:val="24"/>
          <w:rtl/>
        </w:rPr>
        <w:t>• المصاريف المرتبطة مباشرة بالاستغلال التجاري للسيّارة في إطار نشاطها (السائق، مصاريف الاستغلال، المعاليم، ركن السيّارة، إلخ، حسب حاجيات النشاط).</w:t>
      </w:r>
    </w:p>
    <w:p>
      <w:pPr>
        <w:bidi/>
        <w:spacing w:before="200" w:after="80"/>
        <w:jc w:val="right"/>
        <w:pBdr>
          <w:bottom w:val="single" w:sz="6" w:space="2" w:color="B8860B"/>
        </w:pBdr>
      </w:pPr>
      <w:r>
        <w:rPr>
          <w:rFonts w:ascii="Arial" w:hAnsi="Arial" w:cs="Arial"/>
          <w:b/>
          <w:i w:val="0"/>
          <w:color w:val="1F3A5F"/>
          <w:sz w:val="27"/>
          <w:rtl/>
        </w:rPr>
        <w:t>الفصل 6 – تحديد الأرباح</w:t>
      </w:r>
    </w:p>
    <w:p>
      <w:pPr>
        <w:bidi/>
        <w:spacing w:before="0" w:after="120"/>
        <w:jc w:val="right"/>
      </w:pPr>
      <w:r>
        <w:rPr>
          <w:rFonts w:ascii="Arial" w:hAnsi="Arial" w:cs="Arial"/>
          <w:b w:val="0"/>
          <w:i w:val="0"/>
          <w:sz w:val="24"/>
          <w:rtl/>
        </w:rPr>
        <w:t>يتمثّل الربح السنوي في المداخيل المتأتّية من استغلال السيّارة، منقوصًا منها مجموع مصاريف الاستغلال، بما في ذلك خاصّة:</w:t>
      </w:r>
    </w:p>
    <w:p>
      <w:pPr>
        <w:bidi/>
        <w:spacing w:after="60"/>
        <w:ind w:right="340"/>
        <w:jc w:val="right"/>
      </w:pPr>
      <w:r>
        <w:rPr>
          <w:rFonts w:ascii="Arial" w:hAnsi="Arial" w:cs="Arial"/>
          <w:sz w:val="24"/>
          <w:rtl/>
        </w:rPr>
        <w:t>• أقساط الإيجار المالي؛</w:t>
      </w:r>
    </w:p>
    <w:p>
      <w:pPr>
        <w:bidi/>
        <w:spacing w:after="60"/>
        <w:ind w:right="340"/>
        <w:jc w:val="right"/>
      </w:pPr>
      <w:r>
        <w:rPr>
          <w:rFonts w:ascii="Arial" w:hAnsi="Arial" w:cs="Arial"/>
          <w:sz w:val="24"/>
          <w:rtl/>
        </w:rPr>
        <w:t>• أجور أو مكافآت السائقين؛</w:t>
      </w:r>
    </w:p>
    <w:p>
      <w:pPr>
        <w:bidi/>
        <w:spacing w:after="60"/>
        <w:ind w:right="340"/>
        <w:jc w:val="right"/>
      </w:pPr>
      <w:r>
        <w:rPr>
          <w:rFonts w:ascii="Arial" w:hAnsi="Arial" w:cs="Arial"/>
          <w:sz w:val="24"/>
          <w:rtl/>
        </w:rPr>
        <w:t>• المصاريف الإدارية المرتبطة مباشرة بالسيّارة؛</w:t>
      </w:r>
    </w:p>
    <w:p>
      <w:pPr>
        <w:bidi/>
        <w:spacing w:after="60"/>
        <w:ind w:right="340"/>
        <w:jc w:val="right"/>
      </w:pPr>
      <w:r>
        <w:rPr>
          <w:rFonts w:ascii="Arial" w:hAnsi="Arial" w:cs="Arial"/>
          <w:sz w:val="24"/>
          <w:rtl/>
        </w:rPr>
        <w:t>• مصاريف الاستغلال.</w:t>
      </w:r>
    </w:p>
    <w:p>
      <w:pPr>
        <w:bidi/>
        <w:spacing w:before="0" w:after="120"/>
        <w:jc w:val="right"/>
      </w:pPr>
      <w:r>
        <w:rPr>
          <w:rFonts w:ascii="Arial" w:hAnsi="Arial" w:cs="Arial"/>
          <w:b w:val="0"/>
          <w:i w:val="0"/>
          <w:sz w:val="24"/>
          <w:rtl/>
        </w:rPr>
        <w:t>أمّا المصاريف التي يتحمّلها شخصيًا السيّد الفاتح الهليّل (التأمين، الوقود، الصيانة، إلخ) فلا تتحمّلها الوكالة. ويُعدّ كشف تفصيلي بالمداخيل والمصاريف كلّ سنة.</w:t>
      </w:r>
    </w:p>
    <w:p>
      <w:pPr>
        <w:bidi/>
        <w:spacing w:before="200" w:after="80"/>
        <w:jc w:val="right"/>
        <w:pBdr>
          <w:bottom w:val="single" w:sz="6" w:space="2" w:color="B8860B"/>
        </w:pBdr>
      </w:pPr>
      <w:r>
        <w:rPr>
          <w:rFonts w:ascii="Arial" w:hAnsi="Arial" w:cs="Arial"/>
          <w:b/>
          <w:i w:val="0"/>
          <w:color w:val="1F3A5F"/>
          <w:sz w:val="27"/>
          <w:rtl/>
        </w:rPr>
        <w:t>الفصل 7 – صرف الأرباح</w:t>
      </w:r>
    </w:p>
    <w:p>
      <w:pPr>
        <w:bidi/>
        <w:spacing w:before="0" w:after="120"/>
        <w:jc w:val="right"/>
      </w:pPr>
      <w:r>
        <w:rPr>
          <w:rFonts w:ascii="Arial" w:hAnsi="Arial" w:cs="Arial"/>
          <w:b w:val="0"/>
          <w:i w:val="0"/>
          <w:sz w:val="24"/>
          <w:rtl/>
        </w:rPr>
        <w:t>بعد إعداد الميزانية السنوية للسيّارة، تصرف الوكالة للسيّد الفاتح الهليّل كامل الربح الصافي المتأتّي من هذه السيّارة. ويتمّ الخلاص في أجل أقصاه ثلاثون (30) يومًا من تاريخ ختم السنة المالية المعنية. ويمكن للسيّد الفاتح الهليّل الاطّلاع على المؤيّدات المحاسبية المتعلّقة بالسيّارة.</w:t>
      </w:r>
    </w:p>
    <w:p>
      <w:pPr>
        <w:bidi/>
        <w:spacing w:before="200" w:after="80"/>
        <w:jc w:val="right"/>
        <w:pBdr>
          <w:bottom w:val="single" w:sz="6" w:space="2" w:color="B8860B"/>
        </w:pBdr>
      </w:pPr>
      <w:r>
        <w:rPr>
          <w:rFonts w:ascii="Arial" w:hAnsi="Arial" w:cs="Arial"/>
          <w:b/>
          <w:i w:val="0"/>
          <w:color w:val="1F3A5F"/>
          <w:sz w:val="27"/>
          <w:rtl/>
        </w:rPr>
        <w:t>الفصل 8 – غياب الأرباح</w:t>
      </w:r>
    </w:p>
    <w:p>
      <w:pPr>
        <w:bidi/>
        <w:spacing w:before="0" w:after="120"/>
        <w:jc w:val="right"/>
      </w:pPr>
      <w:r>
        <w:rPr>
          <w:rFonts w:ascii="Arial" w:hAnsi="Arial" w:cs="Arial"/>
          <w:b w:val="0"/>
          <w:i w:val="0"/>
          <w:sz w:val="24"/>
          <w:rtl/>
        </w:rPr>
        <w:t>إذا لم تحقّق السيّارة أيّ ربح خلال سنة ما أو سجّلت خسارة:</w:t>
      </w:r>
    </w:p>
    <w:p>
      <w:pPr>
        <w:bidi/>
        <w:spacing w:after="60"/>
        <w:ind w:right="340"/>
        <w:jc w:val="right"/>
      </w:pPr>
      <w:r>
        <w:rPr>
          <w:rFonts w:ascii="Arial" w:hAnsi="Arial" w:cs="Arial"/>
          <w:sz w:val="24"/>
          <w:rtl/>
        </w:rPr>
        <w:t>• تواصل الوكالة خلاص أقساط الإيجار المالي؛</w:t>
      </w:r>
    </w:p>
    <w:p>
      <w:pPr>
        <w:bidi/>
        <w:spacing w:after="60"/>
        <w:ind w:right="340"/>
        <w:jc w:val="right"/>
      </w:pPr>
      <w:r>
        <w:rPr>
          <w:rFonts w:ascii="Arial" w:hAnsi="Arial" w:cs="Arial"/>
          <w:sz w:val="24"/>
          <w:rtl/>
        </w:rPr>
        <w:t>• تواصل الوكالة استعمال السيّارة في نشاطها؛</w:t>
      </w:r>
    </w:p>
    <w:p>
      <w:pPr>
        <w:bidi/>
        <w:spacing w:after="60"/>
        <w:ind w:right="340"/>
        <w:jc w:val="right"/>
      </w:pPr>
      <w:r>
        <w:rPr>
          <w:rFonts w:ascii="Arial" w:hAnsi="Arial" w:cs="Arial"/>
          <w:sz w:val="24"/>
          <w:rtl/>
        </w:rPr>
        <w:t>• لا يمكن للسيّد الفاتح الهليّل المطالبة بأيّ ربح عن هذه الفترة؛</w:t>
      </w:r>
    </w:p>
    <w:p>
      <w:pPr>
        <w:bidi/>
        <w:spacing w:after="60"/>
        <w:ind w:right="340"/>
        <w:jc w:val="right"/>
      </w:pPr>
      <w:r>
        <w:rPr>
          <w:rFonts w:ascii="Arial" w:hAnsi="Arial" w:cs="Arial"/>
          <w:sz w:val="24"/>
          <w:rtl/>
        </w:rPr>
        <w:t>• لا يكون السيّد الفاتح الهليّل ملزمًا بإرجاع أقساط الإيجار المالي التي خلّصتها الوكالة.</w:t>
      </w:r>
    </w:p>
    <w:p>
      <w:pPr>
        <w:bidi/>
        <w:spacing w:before="200" w:after="80"/>
        <w:jc w:val="right"/>
        <w:pBdr>
          <w:bottom w:val="single" w:sz="6" w:space="2" w:color="B8860B"/>
        </w:pBdr>
      </w:pPr>
      <w:r>
        <w:rPr>
          <w:rFonts w:ascii="Arial" w:hAnsi="Arial" w:cs="Arial"/>
          <w:b/>
          <w:i w:val="0"/>
          <w:color w:val="1F3A5F"/>
          <w:sz w:val="27"/>
          <w:rtl/>
        </w:rPr>
        <w:t>الفصل 9 – نقل الملكية</w:t>
      </w:r>
    </w:p>
    <w:p>
      <w:pPr>
        <w:bidi/>
        <w:spacing w:before="0" w:after="120"/>
        <w:jc w:val="right"/>
      </w:pPr>
      <w:r>
        <w:rPr>
          <w:rFonts w:ascii="Arial" w:hAnsi="Arial" w:cs="Arial"/>
          <w:b w:val="0"/>
          <w:i w:val="0"/>
          <w:sz w:val="24"/>
          <w:rtl/>
        </w:rPr>
        <w:t>بعد الخلاص الكامل لجميع أقساط الإيجار المالي، ومع مراعاة الإجراءات القانونية وكذلك الموافقة المحتملة لشركة الإيجار المالي، تلتزم الوكالة بنقل ملكية السيّارة باسم السيّد الفاتح الهليّل دون المطالبة بأيّ مقابل إضافي، باستثناء المصاريف الإدارية والأداءات المتعلّقة بتغيير المالك، ما لم يتّفق الطرفان على خلاف ذلك.</w:t>
      </w:r>
    </w:p>
    <w:p>
      <w:pPr>
        <w:bidi/>
        <w:spacing w:before="200" w:after="80"/>
        <w:jc w:val="right"/>
        <w:pBdr>
          <w:bottom w:val="single" w:sz="6" w:space="2" w:color="B8860B"/>
        </w:pBdr>
      </w:pPr>
      <w:r>
        <w:rPr>
          <w:rFonts w:ascii="Arial" w:hAnsi="Arial" w:cs="Arial"/>
          <w:b/>
          <w:i w:val="0"/>
          <w:color w:val="1F3A5F"/>
          <w:sz w:val="27"/>
          <w:rtl/>
        </w:rPr>
        <w:t>الفصل 10 – التأمين والمسؤولية</w:t>
      </w:r>
    </w:p>
    <w:p>
      <w:pPr>
        <w:bidi/>
        <w:spacing w:before="0" w:after="120"/>
        <w:jc w:val="right"/>
      </w:pPr>
      <w:r>
        <w:rPr>
          <w:rFonts w:ascii="Arial" w:hAnsi="Arial" w:cs="Arial"/>
          <w:b w:val="0"/>
          <w:i w:val="0"/>
          <w:sz w:val="24"/>
          <w:rtl/>
        </w:rPr>
        <w:t>طيلة مدّة العقد:</w:t>
      </w:r>
    </w:p>
    <w:p>
      <w:pPr>
        <w:bidi/>
        <w:spacing w:after="60"/>
        <w:ind w:right="340"/>
        <w:jc w:val="right"/>
      </w:pPr>
      <w:r>
        <w:rPr>
          <w:rFonts w:ascii="Arial" w:hAnsi="Arial" w:cs="Arial"/>
          <w:sz w:val="24"/>
          <w:rtl/>
        </w:rPr>
        <w:t>• يجب أن تبقى السيّارة مؤمَّنة طبقًا للتشريع التونسي؛</w:t>
      </w:r>
    </w:p>
    <w:p>
      <w:pPr>
        <w:bidi/>
        <w:spacing w:after="60"/>
        <w:ind w:right="340"/>
        <w:jc w:val="right"/>
      </w:pPr>
      <w:r>
        <w:rPr>
          <w:rFonts w:ascii="Arial" w:hAnsi="Arial" w:cs="Arial"/>
          <w:sz w:val="24"/>
          <w:rtl/>
        </w:rPr>
        <w:t>• يتحمّل كلّ طرف الالتزامات المنوطة بعهدته بمقتضى هذا العقد؛</w:t>
      </w:r>
    </w:p>
    <w:p>
      <w:pPr>
        <w:bidi/>
        <w:spacing w:after="60"/>
        <w:ind w:right="340"/>
        <w:jc w:val="right"/>
      </w:pPr>
      <w:r>
        <w:rPr>
          <w:rFonts w:ascii="Arial" w:hAnsi="Arial" w:cs="Arial"/>
          <w:sz w:val="24"/>
          <w:rtl/>
        </w:rPr>
        <w:t>• في صورة وقوع حادث، يتعاون الطرفان للحفاظ على حقوقهما.</w:t>
      </w:r>
    </w:p>
    <w:p>
      <w:pPr>
        <w:bidi/>
        <w:spacing w:before="200" w:after="80"/>
        <w:jc w:val="right"/>
        <w:pBdr>
          <w:bottom w:val="single" w:sz="6" w:space="2" w:color="B8860B"/>
        </w:pBdr>
      </w:pPr>
      <w:r>
        <w:rPr>
          <w:rFonts w:ascii="Arial" w:hAnsi="Arial" w:cs="Arial"/>
          <w:b/>
          <w:i w:val="0"/>
          <w:color w:val="1F3A5F"/>
          <w:sz w:val="27"/>
          <w:rtl/>
        </w:rPr>
        <w:t>الفصل 11 – المدّة</w:t>
      </w:r>
    </w:p>
    <w:p>
      <w:pPr>
        <w:bidi/>
        <w:spacing w:before="0" w:after="120"/>
        <w:jc w:val="right"/>
      </w:pPr>
      <w:r>
        <w:rPr>
          <w:rFonts w:ascii="Arial" w:hAnsi="Arial" w:cs="Arial"/>
          <w:b w:val="0"/>
          <w:i w:val="0"/>
          <w:sz w:val="24"/>
          <w:rtl/>
        </w:rPr>
        <w:t>يدخل هذا العقد حيّز التنفيذ من تاريخ إمضائه، ويبقى ساري المفعول إلى حين النقل النهائي للسيّارة باسم السيّد الفاتح الهليّل، ما لم يتمّ فسخه بالتراضي أو في حالة القوّة القاهرة.</w:t>
      </w:r>
    </w:p>
    <w:p>
      <w:pPr>
        <w:bidi/>
        <w:spacing w:before="200" w:after="80"/>
        <w:jc w:val="right"/>
        <w:pBdr>
          <w:bottom w:val="single" w:sz="6" w:space="2" w:color="B8860B"/>
        </w:pBdr>
      </w:pPr>
      <w:r>
        <w:rPr>
          <w:rFonts w:ascii="Arial" w:hAnsi="Arial" w:cs="Arial"/>
          <w:b/>
          <w:i w:val="0"/>
          <w:color w:val="1F3A5F"/>
          <w:sz w:val="27"/>
          <w:rtl/>
        </w:rPr>
        <w:t>الفصل 12 – فضّ النزاعات</w:t>
      </w:r>
    </w:p>
    <w:p>
      <w:pPr>
        <w:bidi/>
        <w:spacing w:before="0" w:after="120"/>
        <w:jc w:val="right"/>
      </w:pPr>
      <w:r>
        <w:rPr>
          <w:rFonts w:ascii="Arial" w:hAnsi="Arial" w:cs="Arial"/>
          <w:b w:val="0"/>
          <w:i w:val="0"/>
          <w:sz w:val="24"/>
          <w:rtl/>
        </w:rPr>
        <w:t>يلتزم الطرفان بالبحث عن حلّ ودّي لكلّ خلاف. وفي حال تعذّر الاتّفاق الودّي، تكون المحاكم المختصّة بالجمهورية التونسية وحدها المختصّة.</w:t>
      </w:r>
    </w:p>
    <w:p>
      <w:pPr>
        <w:bidi/>
        <w:spacing w:before="200" w:after="80"/>
        <w:jc w:val="right"/>
        <w:pBdr>
          <w:bottom w:val="single" w:sz="6" w:space="2" w:color="B8860B"/>
        </w:pBdr>
      </w:pPr>
      <w:r>
        <w:rPr>
          <w:rFonts w:ascii="Arial" w:hAnsi="Arial" w:cs="Arial"/>
          <w:b/>
          <w:i w:val="0"/>
          <w:color w:val="1F3A5F"/>
          <w:sz w:val="27"/>
          <w:rtl/>
        </w:rPr>
        <w:t>الفصل 13 – أحكام ختامية</w:t>
      </w:r>
    </w:p>
    <w:p>
      <w:pPr>
        <w:bidi/>
        <w:spacing w:before="0" w:after="120"/>
        <w:jc w:val="right"/>
      </w:pPr>
      <w:r>
        <w:rPr>
          <w:rFonts w:ascii="Arial" w:hAnsi="Arial" w:cs="Arial"/>
          <w:b w:val="0"/>
          <w:i w:val="0"/>
          <w:sz w:val="24"/>
          <w:rtl/>
        </w:rPr>
        <w:t>كلّ تعديل لهذا العقد يجب أن يكون موضوع ملحق كتابي مُمضى من الطرفين. وحُرّر هذا العقد في نسختين أصليتين، نسخة لكلّ طرف.</w:t>
      </w:r>
    </w:p>
    <w:p>
      <w:pPr>
        <w:bidi/>
        <w:spacing w:before="280" w:after="280"/>
        <w:jc w:val="center"/>
      </w:pPr>
      <w:r>
        <w:rPr>
          <w:rFonts w:ascii="Arial" w:hAnsi="Arial" w:cs="Arial"/>
          <w:b/>
          <w:i w:val="0"/>
          <w:sz w:val="24"/>
          <w:rtl/>
        </w:rPr>
        <w:t>حُرّر بجربة في 15 / 07 / 2026</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4873"/>
        <w:gridCol w:w="4873"/>
      </w:tblGrid>
      <w:tr>
        <w:tc>
          <w:tcPr>
            <w:tcW w:type="dxa" w:w="4873"/>
          </w:tcPr>
          <w:p>
            <w:pPr>
              <w:bidi/>
              <w:spacing w:after="160"/>
              <w:jc w:val="center"/>
            </w:pPr>
            <w:r>
              <w:rPr>
                <w:rFonts w:ascii="Arial" w:hAnsi="Arial" w:cs="Arial"/>
                <w:b/>
                <w:color w:val="1F3A5F"/>
                <w:sz w:val="24"/>
                <w:rtl/>
              </w:rPr>
              <w:t>المستثمر</w:t>
            </w:r>
          </w:p>
          <w:p>
            <w:pPr>
              <w:bidi/>
              <w:spacing w:after="160"/>
              <w:jc w:val="center"/>
            </w:pPr>
            <w:r>
              <w:rPr>
                <w:rFonts w:ascii="Arial" w:hAnsi="Arial" w:cs="Arial"/>
                <w:b w:val="0"/>
                <w:sz w:val="24"/>
                <w:rtl/>
              </w:rPr>
              <w:t>السيّد الفاتح الهليّل</w:t>
            </w:r>
          </w:p>
          <w:p>
            <w:pPr>
              <w:bidi/>
              <w:spacing w:after="160"/>
              <w:jc w:val="center"/>
            </w:pPr>
            <w:r>
              <w:rPr>
                <w:rFonts w:ascii="Arial" w:hAnsi="Arial" w:cs="Arial"/>
                <w:b w:val="0"/>
                <w:sz w:val="24"/>
                <w:rtl/>
              </w:rPr>
              <w:t>بطاقة التعريف الوطنية عدد: 08212752</w:t>
            </w:r>
          </w:p>
          <w:p>
            <w:pPr>
              <w:bidi/>
              <w:spacing w:after="160"/>
              <w:jc w:val="center"/>
            </w:pPr>
            <w:r>
              <w:rPr>
                <w:rFonts w:ascii="Arial" w:hAnsi="Arial" w:cs="Arial"/>
                <w:b w:val="0"/>
                <w:sz w:val="24"/>
                <w:rtl/>
              </w:rPr>
              <w:t>الإمضاء:</w:t>
            </w:r>
          </w:p>
          <w:p>
            <w:pPr>
              <w:bidi/>
              <w:spacing w:after="160"/>
              <w:jc w:val="center"/>
            </w:pPr>
            <w:r>
              <w:rPr>
                <w:rFonts w:ascii="Arial" w:hAnsi="Arial" w:cs="Arial"/>
                <w:b w:val="0"/>
                <w:sz w:val="24"/>
                <w:rtl/>
              </w:rPr>
            </w:r>
          </w:p>
        </w:tc>
        <w:tc>
          <w:tcPr>
            <w:tcW w:type="dxa" w:w="4873"/>
          </w:tcPr>
          <w:p>
            <w:pPr>
              <w:bidi/>
              <w:spacing w:after="160"/>
              <w:jc w:val="center"/>
            </w:pPr>
            <w:r>
              <w:rPr>
                <w:rFonts w:ascii="Arial" w:hAnsi="Arial" w:cs="Arial"/>
                <w:b/>
                <w:color w:val="1F3A5F"/>
                <w:sz w:val="24"/>
                <w:rtl/>
              </w:rPr>
              <w:t>الوكالة</w:t>
            </w:r>
          </w:p>
          <w:p>
            <w:pPr>
              <w:bidi/>
              <w:spacing w:after="160"/>
              <w:jc w:val="center"/>
            </w:pPr>
            <w:r>
              <w:rPr>
                <w:rFonts w:ascii="Arial" w:hAnsi="Arial" w:cs="Arial"/>
                <w:b w:val="0"/>
                <w:sz w:val="24"/>
                <w:rtl/>
              </w:rPr>
              <w:t>Depart Travel Services</w:t>
            </w:r>
          </w:p>
          <w:p>
            <w:pPr>
              <w:bidi/>
              <w:spacing w:after="160"/>
              <w:jc w:val="center"/>
            </w:pPr>
            <w:r>
              <w:rPr>
                <w:rFonts w:ascii="Arial" w:hAnsi="Arial" w:cs="Arial"/>
                <w:b w:val="0"/>
                <w:sz w:val="24"/>
                <w:rtl/>
              </w:rPr>
              <w:t>الاسم: العمراني أيمن</w:t>
            </w:r>
          </w:p>
          <w:p>
            <w:pPr>
              <w:bidi/>
              <w:spacing w:after="160"/>
              <w:jc w:val="center"/>
            </w:pPr>
            <w:r>
              <w:rPr>
                <w:rFonts w:ascii="Arial" w:hAnsi="Arial" w:cs="Arial"/>
                <w:b w:val="0"/>
                <w:sz w:val="24"/>
                <w:rtl/>
              </w:rPr>
              <w:t>الإمضاء:</w:t>
            </w:r>
          </w:p>
          <w:p>
            <w:pPr>
              <w:bidi/>
              <w:spacing w:after="160"/>
              <w:jc w:val="center"/>
            </w:pPr>
            <w:r>
              <w:rPr>
                <w:rFonts w:ascii="Arial" w:hAnsi="Arial" w:cs="Arial"/>
                <w:b w:val="0"/>
                <w:sz w:val="24"/>
                <w:rtl/>
              </w:rPr>
              <w:t>الختم:</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