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b w:val="false"/>
          <w:bCs w:val="false"/>
          <w:i w:val="false"/>
          <w:iCs w:val="false"/>
        </w:rPr>
        <w:t xml:space="preserve">Revisión del archivo de propiedades</w:t>
      </w:r>
    </w:p>
    <w:p>
      <w:pPr>
        <w:spacing w:after="240"/>
      </w:pPr>
      <w:r>
        <w:rPr>
          <w:b w:val="false"/>
          <w:bCs w:val="false"/>
          <w:i/>
          <w:iCs/>
          <w:color w:val="555555"/>
          <w:sz w:val="22"/>
          <w:szCs w:val="22"/>
        </w:rPr>
        <w:t xml:space="preserve">Qué encontramos y qué ajustar · De Paseo en Fincas · Julio 2026</w:t>
      </w:r>
    </w:p>
    <w:p>
      <w:pPr>
        <w:spacing w:after="240"/>
      </w:pPr>
      <w:r>
        <w:rPr>
          <w:b w:val="false"/>
          <w:bCs w:val="false"/>
          <w:i w:val="false"/>
          <w:iCs w:val="false"/>
        </w:rPr>
        <w:t xml:space="preserve">Hicimos una revisión completa del archivo de propiedades (las 167 fincas) para asegurar que el asistente de WhatsApp siempre muestre la información y los precios correctos. La gran mayoría de los datos están muy bien. Encontramos unos pocos puntos que vale la pena ajustar en el archivo:</w:t>
      </w:r>
    </w:p>
    <w:p>
      <w:pPr>
        <w:pStyle w:val="Heading2"/>
        <w:spacing w:after="120"/>
      </w:pPr>
      <w:r>
        <w:rPr>
          <w:b w:val="false"/>
          <w:bCs w:val="false"/>
          <w:i w:val="false"/>
          <w:iCs w:val="false"/>
        </w:rPr>
        <w:t xml:space="preserve">1. Lo más importante: 8 fincas con el "precio por persona adicional" posiblemente errado</w:t>
      </w:r>
    </w:p>
    <w:p>
      <w:pPr>
        <w:spacing w:after="120"/>
      </w:pPr>
      <w:r>
        <w:rPr>
          <w:b w:val="false"/>
          <w:bCs w:val="false"/>
          <w:i w:val="false"/>
          <w:iCs w:val="false"/>
        </w:rPr>
        <w:t xml:space="preserve">En estas 8 fincas, la columna "precio por persona adicional" tiene el mismo valor que el precio base por noche, y la capacidad mínima está en 1 persona. Eso hace que cualquier cotización salga disparada.</w:t>
      </w:r>
    </w:p>
    <w:p>
      <w:pPr>
        <w:spacing w:after="200"/>
      </w:pPr>
      <w:r>
        <w:rPr>
          <w:b w:val="false"/>
          <w:bCs w:val="false"/>
          <w:i/>
          <w:iCs/>
        </w:rPr>
        <w:t xml:space="preserve">Ejemplo del problema: si una familia de 12 personas cotiza ANAPOIMA07, el sistema calcularía $1.400.000 (base) + $1.400.000 × 11 personas adicionales = $16.800.000 por noche. Seguramente el valor real es otro.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2300"/>
        <w:gridCol w:w="2460"/>
      </w:tblGrid>
      <w:tr>
        <w:trPr>
          <w:tblHeader/>
        </w:trPr>
        <w:tc>
          <w:tcPr>
            <w:tcW w:type="dxa" w:w="2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i w:val="false"/>
                <w:iCs w:val="false"/>
                <w:sz w:val="20"/>
                <w:szCs w:val="20"/>
              </w:rPr>
              <w:t xml:space="preserve">Finca</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i w:val="false"/>
                <w:iCs w:val="false"/>
                <w:sz w:val="20"/>
                <w:szCs w:val="20"/>
              </w:rPr>
              <w:t xml:space="preserve">Cap. (mín/máx)</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i w:val="false"/>
                <w:iCs w:val="false"/>
                <w:sz w:val="20"/>
                <w:szCs w:val="20"/>
              </w:rPr>
              <w:t xml:space="preserve">Precio base/noche</w:t>
            </w:r>
          </w:p>
        </w:tc>
        <w:tc>
          <w:tcPr>
            <w:tcW w:type="dxa" w:w="2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i w:val="false"/>
                <w:iCs w:val="false"/>
                <w:sz w:val="20"/>
                <w:szCs w:val="20"/>
              </w:rPr>
              <w:t xml:space="preserve">Por persona adicional</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ANAPOIMA07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1 / 12</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$1.400.000</w:t>
            </w:r>
          </w:p>
        </w:tc>
        <w:tc>
          <w:tcPr>
            <w:tcW w:type="dxa" w:w="24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i w:val="false"/>
                <w:iCs w:val="false"/>
                <w:sz w:val="20"/>
                <w:szCs w:val="20"/>
              </w:rPr>
              <w:t xml:space="preserve">$1.400.000  ⚠</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LA_MESA_#07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1 / 25</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$3.000.000</w:t>
            </w:r>
          </w:p>
        </w:tc>
        <w:tc>
          <w:tcPr>
            <w:tcW w:type="dxa" w:w="24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i w:val="false"/>
                <w:iCs w:val="false"/>
                <w:sz w:val="20"/>
                <w:szCs w:val="20"/>
              </w:rPr>
              <w:t xml:space="preserve">$3.000.000  ⚠</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CARMEN_DE_APICALA_#_08</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1 / 15</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$1.600.000</w:t>
            </w:r>
          </w:p>
        </w:tc>
        <w:tc>
          <w:tcPr>
            <w:tcW w:type="dxa" w:w="24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i w:val="false"/>
                <w:iCs w:val="false"/>
                <w:sz w:val="20"/>
                <w:szCs w:val="20"/>
              </w:rPr>
              <w:t xml:space="preserve">$1.600.000  ⚠</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GIRARDOT_#09</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1 / 14</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$1.800.000</w:t>
            </w:r>
          </w:p>
        </w:tc>
        <w:tc>
          <w:tcPr>
            <w:tcW w:type="dxa" w:w="24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i w:val="false"/>
                <w:iCs w:val="false"/>
                <w:sz w:val="20"/>
                <w:szCs w:val="20"/>
              </w:rPr>
              <w:t xml:space="preserve">$1.800.000  ⚠</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GIRARDOT_#10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1 / 12</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$1.600.000</w:t>
            </w:r>
          </w:p>
        </w:tc>
        <w:tc>
          <w:tcPr>
            <w:tcW w:type="dxa" w:w="24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i w:val="false"/>
                <w:iCs w:val="false"/>
                <w:sz w:val="20"/>
                <w:szCs w:val="20"/>
              </w:rPr>
              <w:t xml:space="preserve">$1.600.000  ⚠</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GIRARDOT_M2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1 / 10</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$1.500.000</w:t>
            </w:r>
          </w:p>
        </w:tc>
        <w:tc>
          <w:tcPr>
            <w:tcW w:type="dxa" w:w="24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i w:val="false"/>
                <w:iCs w:val="false"/>
                <w:sz w:val="20"/>
                <w:szCs w:val="20"/>
              </w:rPr>
              <w:t xml:space="preserve">$1.500.000  ⚠</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VILLETA_#30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1 / 18</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$2.800.000</w:t>
            </w:r>
          </w:p>
        </w:tc>
        <w:tc>
          <w:tcPr>
            <w:tcW w:type="dxa" w:w="24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i w:val="false"/>
                <w:iCs w:val="false"/>
                <w:sz w:val="20"/>
                <w:szCs w:val="20"/>
              </w:rPr>
              <w:t xml:space="preserve">$2.800.000  ⚠</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SANTAFE_#10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1 / 16</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$1.800.000</w:t>
            </w:r>
          </w:p>
        </w:tc>
        <w:tc>
          <w:tcPr>
            <w:tcW w:type="dxa" w:w="24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i w:val="false"/>
                <w:iCs w:val="false"/>
                <w:sz w:val="20"/>
                <w:szCs w:val="20"/>
              </w:rPr>
              <w:t xml:space="preserve">$1.800.000  ⚠</w:t>
            </w:r>
          </w:p>
        </w:tc>
      </w:tr>
    </w:tbl>
    <w:p>
      <w:pPr>
        <w:spacing w:after="80"/>
      </w:pPr>
      <w:r>
        <w:rPr>
          <w:b w:val="false"/>
          <w:bCs w:val="false"/>
          <w:i w:val="false"/>
          <w:iCs w:val="false"/>
        </w:rPr>
        <w:t xml:space="preserve"/>
      </w:r>
    </w:p>
    <w:p>
      <w:pPr>
        <w:spacing w:after="80"/>
      </w:pPr>
      <w:r>
        <w:rPr>
          <w:b/>
          <w:bCs/>
          <w:i w:val="false"/>
          <w:iCs w:val="false"/>
        </w:rPr>
        <w:t xml:space="preserve">Qué hacer en cada una:</w:t>
      </w:r>
    </w:p>
    <w:p>
      <w:pPr>
        <w:pStyle w:val="ListParagraph"/>
        <w:numPr>
          <w:ilvl w:val="0"/>
          <w:numId w:val="2"/>
        </w:numPr>
        <w:spacing w:after="60"/>
      </w:pPr>
      <w:r>
        <w:rPr>
          <w:sz w:val="22"/>
          <w:szCs w:val="22"/>
        </w:rPr>
        <w:t xml:space="preserve">Revisar la capacidad mínima real (¿desde cuántas personas aplica la tarifa base? Ej: 8, 10, 12).</w:t>
      </w:r>
    </w:p>
    <w:p>
      <w:pPr>
        <w:pStyle w:val="ListParagraph"/>
        <w:numPr>
          <w:ilvl w:val="0"/>
          <w:numId w:val="2"/>
        </w:numPr>
        <w:spacing w:after="200"/>
      </w:pPr>
      <w:r>
        <w:rPr>
          <w:sz w:val="22"/>
          <w:szCs w:val="22"/>
        </w:rPr>
        <w:t xml:space="preserve">Corregir el precio por persona adicional real (normalmente entre $100.000 y $250.000).</w:t>
      </w:r>
    </w:p>
    <w:p>
      <w:pPr>
        <w:pStyle w:val="Heading2"/>
        <w:spacing w:after="120"/>
      </w:pPr>
      <w:r>
        <w:rPr>
          <w:b w:val="false"/>
          <w:bCs w:val="false"/>
          <w:i w:val="false"/>
          <w:iCs w:val="false"/>
        </w:rPr>
        <w:t xml:space="preserve">2. Fincas actualmente INACTIVAS (17)</w:t>
      </w:r>
    </w:p>
    <w:p>
      <w:pPr>
        <w:spacing w:after="200"/>
      </w:pPr>
      <w:r>
        <w:rPr>
          <w:b w:val="false"/>
          <w:bCs w:val="false"/>
          <w:i w:val="false"/>
          <w:iCs w:val="false"/>
        </w:rPr>
        <w:t xml:space="preserve">Estas fincas están marcadas como inactivas, así que el asistente no las ofrece a los clientes. Si alguna debería estar activa, basta con cambiar la columna "activa" a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000"/>
        <w:gridCol w:w="2460"/>
      </w:tblGrid>
      <w:tr>
        <w:trPr>
          <w:tblHeader/>
        </w:trPr>
        <w:tc>
          <w:tcPr>
            <w:tcW w:type="dxa" w:w="2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i w:val="false"/>
                <w:iCs w:val="false"/>
                <w:sz w:val="20"/>
                <w:szCs w:val="20"/>
              </w:rPr>
              <w:t xml:space="preserve">Finca</w:t>
            </w:r>
          </w:p>
        </w:tc>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i w:val="false"/>
                <w:iCs w:val="false"/>
                <w:sz w:val="20"/>
                <w:szCs w:val="20"/>
              </w:rPr>
              <w:t xml:space="preserve">Nombre</w:t>
            </w:r>
          </w:p>
        </w:tc>
        <w:tc>
          <w:tcPr>
            <w:tcW w:type="dxa" w:w="2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i w:val="false"/>
                <w:iCs w:val="false"/>
                <w:sz w:val="20"/>
                <w:szCs w:val="20"/>
              </w:rPr>
              <w:t xml:space="preserve">Zona</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ANAPOIMA13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Palo de Mango 71</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Anapoima</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ANAPOIMA23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Buganville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Anapoima</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ANAPOIMA_#71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Altos del Condado Casa 35</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Anapoima</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ANAPOIMA37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El Mirador</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Anapoima</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ANAPOIMA_#39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Cielo G</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Anapoima</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LA_MESA_#06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(sin nombre)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La Mesa</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LA_MESA_#09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(sin nombre)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La Mesa</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CARMEN DE APICALA10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El Imperio</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Carmen de Apicalá</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CARMEN DE APICALA14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(sin nombre)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Carmen de Apicalá</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GIRARDOT11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El Peñón 349-2</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Girardot</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GIRARDOT12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El Peñón 45-3 Lago</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Girardot</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MELGAR51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Monte de Sion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Melgar</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VILLETA_#16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(sin nombre)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Villeta</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SANTAFE_#17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Hueco Techo Fortich</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Santa Fe de Antioquia</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SANTAFE #50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Casa Blanca</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Santa Fe de Antioquia</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GUATAPE_#01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Guatapé 01</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Guatapé</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SOPETRAN_#20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Parcelación Centroamérica Casa 83</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Sopetrán</w:t>
            </w:r>
          </w:p>
        </w:tc>
      </w:tr>
    </w:tbl>
    <w:p>
      <w:pPr>
        <w:spacing w:after="80"/>
      </w:pPr>
      <w:r>
        <w:rPr>
          <w:b w:val="false"/>
          <w:bCs w:val="false"/>
          <w:i w:val="false"/>
          <w:iCs w:val="false"/>
        </w:rPr>
        <w:t xml:space="preserve"/>
      </w:r>
    </w:p>
    <w:p>
      <w:pPr>
        <w:spacing w:after="200"/>
      </w:pPr>
      <w:r>
        <w:rPr>
          <w:b w:val="false"/>
          <w:bCs w:val="false"/>
          <w:i/>
          <w:iCs/>
        </w:rPr>
        <w:t xml:space="preserve">Nota: cuando un cliente pregunta por una de estas por su código (nos pasó con Sopetrán 20), el asistente ahora responde correctamente que "por ahora no está disponible" y ofrece alternativas.</w:t>
      </w:r>
    </w:p>
    <w:p>
      <w:pPr>
        <w:pStyle w:val="Heading2"/>
        <w:spacing w:after="120"/>
      </w:pPr>
      <w:r>
        <w:rPr>
          <w:b w:val="false"/>
          <w:bCs w:val="false"/>
          <w:i w:val="false"/>
          <w:iCs w:val="false"/>
        </w:rPr>
        <w:t xml:space="preserve">3. Detalles menores (no urgentes, pero suman orden)</w:t>
      </w:r>
    </w:p>
    <w:p>
      <w:pPr>
        <w:pStyle w:val="ListParagraph"/>
        <w:numPr>
          <w:ilvl w:val="0"/>
          <w:numId w:val="3"/>
        </w:numPr>
        <w:spacing w:after="80"/>
      </w:pPr>
      <w:r>
        <w:rPr>
          <w:sz w:val="22"/>
          <w:szCs w:val="22"/>
        </w:rPr>
        <w:t xml:space="preserve">PEREIRA_#10 aparece dos veces en el archivo con la misma información. Conviene borrar una de las dos filas.</w:t>
      </w:r>
    </w:p>
    <w:p>
      <w:pPr>
        <w:pStyle w:val="ListParagraph"/>
        <w:numPr>
          <w:ilvl w:val="0"/>
          <w:numId w:val="3"/>
        </w:numPr>
        <w:spacing w:after="80"/>
      </w:pPr>
      <w:r>
        <w:rPr>
          <w:sz w:val="22"/>
          <w:szCs w:val="22"/>
        </w:rPr>
        <w:t xml:space="preserve">CARMEN_DE_APICALA_02 tiene en la columna "zona" el texto "Carmen de Apicala Impero A32". El "Impero A32" parece ser el nombre del conjunto — quedaría mejor en la descripción, y la zona simplemente como "Carmen de Apicala". (El sistema ya lo tolera, es solo por orden.)</w:t>
      </w:r>
    </w:p>
    <w:p>
      <w:pPr>
        <w:pStyle w:val="ListParagraph"/>
        <w:numPr>
          <w:ilvl w:val="0"/>
          <w:numId w:val="3"/>
        </w:numPr>
        <w:spacing w:after="80"/>
      </w:pPr>
      <w:r>
        <w:rPr>
          <w:sz w:val="22"/>
          <w:szCs w:val="22"/>
        </w:rPr>
        <w:t xml:space="preserve">Códigos con formatos distintos: la mayoría siguen el patrón ZONA_#NN (ej. ANAPOIMA_#02), pero hay varios diferentes: SAN JERONIMO #22, VILLAVICENCIO 50, GIRARDOT_M2, MELGAR03, MESA DE YEGUAS CASA APU6, etc. El sistema los maneja, pero unificar el formato reduce el riesgo de errores futuros y facilita que los clientes las encuentren por código.</w:t>
      </w:r>
    </w:p>
    <w:p>
      <w:pPr>
        <w:spacing w:after="120"/>
      </w:pPr>
      <w:r>
        <w:rPr>
          <w:b w:val="false"/>
          <w:bCs w:val="false"/>
          <w:i w:val="false"/>
          <w:iCs w:val="false"/>
        </w:rPr>
        <w:t xml:space="preserve"/>
      </w:r>
    </w:p>
    <w:p>
      <w:pPr>
        <w:pStyle w:val="Heading2"/>
        <w:spacing w:after="120"/>
      </w:pPr>
      <w:r>
        <w:rPr>
          <w:b w:val="false"/>
          <w:bCs w:val="false"/>
          <w:i w:val="false"/>
          <w:iCs w:val="false"/>
        </w:rPr>
        <w:t xml:space="preserve">4. Regla de oro para el futuro</w:t>
      </w:r>
    </w:p>
    <w:p>
      <w:pPr>
        <w:spacing w:after="240"/>
      </w:pPr>
      <w:r>
        <w:rPr>
          <w:b w:val="false"/>
          <w:bCs w:val="false"/>
          <w:i w:val="false"/>
          <w:iCs w:val="false"/>
        </w:rPr>
        <w:t xml:space="preserve">Cuando se agregue una zona nueva al archivo (un municipio donde antes no había fincas), avisarnos para registrarla también en la configuración del asistente. Así el bot la reconoce de inmediato y nunca dice "no tenemos propiedades ahí" por error. (Esto fue lo que pasó con La Mesa, Melgar y Arbeláez — ya quedó corregido.)</w:t>
      </w:r>
    </w:p>
    <w:p>
      <w:pPr>
        <w:pBdr>
          <w:top w:val="single" w:color="2E7D32" w:sz="6" w:space="8"/>
        </w:pBdr>
        <w:spacing w:after="0" w:before="120"/>
      </w:pPr>
      <w:r>
        <w:rPr>
          <w:i/>
          <w:iCs/>
          <w:color w:val="1B5E20"/>
          <w:sz w:val="22"/>
          <w:szCs w:val="22"/>
        </w:rPr>
        <w:t xml:space="preserve">Lo demás está en excelente estado: todas las fincas activas tienen precio base, depósito y limpieza completos, y las temporadas (festivos, Semana Santa, fin de año) están bien configuradas para todo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De Paseo en Fincas · Revisión de inventario · Página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B5E20"/>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2026-07-02T14:26:03.198Z</dcterms:created>
  <dcterms:modified xsi:type="dcterms:W3CDTF">2026-07-02T14:26:03.198Z</dcterms:modified>
</cp:coreProperties>
</file>

<file path=docProps/custom.xml><?xml version="1.0" encoding="utf-8"?>
<Properties xmlns="http://schemas.openxmlformats.org/officeDocument/2006/custom-properties" xmlns:vt="http://schemas.openxmlformats.org/officeDocument/2006/docPropsVTypes"/>
</file>