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智鉴 AI（VeriMind AI）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1"/>
        </w:rPr>
        <w:t>面向科研文本的事实核验 Agent：任务规划、工具调用、结果验证与异常处理的完整闭环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1"/>
        </w:rPr>
        <w:t>队伍名称：旭日伴粽同行小队　|　编号 U071　|　本科生组　|　宗佳雨　郑子旭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摘要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AI 生成或辅助撰写的科研文本中，最危险的错误不是明显胡说，而是“看起来很像真的”：引用一个并不存在的 DOI、把 2013 年发表的论文写成 2008 年、文献真实存在但没有说过那句话。这类错误会随文本一起进入论文与报告，且人工逐条核对一篇综述需要数小时至数日。本作品提出并实现了一个面向科研文本的事实核验 Agent：接收待核验文本后，自动完成主张拆分、检索策略规划、外部证据获取、可解释规则裁决、最小改动修正建议与独立复核，输出可追溯的证据链与复核结论。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本作品的核心主张是：</w:t>
      </w:r>
      <w:r>
        <w:rPr>
          <w:rFonts w:ascii="Times New Roman" w:hAnsi="Times New Roman" w:eastAsia="宋体"/>
          <w:b/>
          <w:sz w:val="22"/>
        </w:rPr>
        <w:t>模型不应作为结论的来源</w:t>
      </w:r>
      <w:r>
        <w:rPr>
          <w:rFonts w:ascii="Times New Roman" w:hAnsi="Times New Roman" w:eastAsia="宋体"/>
          <w:b w:val="0"/>
          <w:sz w:val="22"/>
        </w:rPr>
        <w:t>。大模型只产出结构化判断，判定状态由确定性规则表裁决，修正建议必须通过独立复核才允许写入正文。在 100 条人工确认的标注测试集上，本方法与“直接把文本交给同一个模型判断”相比，误报率由 44.9% 降至 2.0%，证据可追溯率由 0% 提升至 69.0%，修正成功率 79.3% 且新增错误率为 0%。</w:t>
      </w:r>
    </w:p>
    <w:p>
      <w:r>
        <w:rPr>
          <w:rFonts w:ascii="Times New Roman" w:hAnsi="Times New Roman" w:eastAsia="宋体"/>
          <w:b/>
          <w:sz w:val="22"/>
        </w:rPr>
        <w:t>关键词：事实核验；证据追溯；可解释规则裁决；独立复核；科研诚信；智能体工具调用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一、选题依据与研究目标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（一）参考方向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智能体与执行闭环：任务规划、工具调用、执行反馈、结果验证与异常处理的完整链路。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科研诚信与学术写作质量保障：引用准确性、文献真实性与结论一致性的自动化检查。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可解释裁决与独立复核：以确定性规则替代模型主观评分，并引入跨厂商模型交叉复核。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开放学术数据接口的应用：Crossref、OpenAlex、arXiv 等公开元数据源的工具化调用。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（二）研究背景与问题来源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大模型已成为科研写作的常用辅助工具，但其输出中的事实性错误具有隐蔽性。本作品把这类错误归纳为三类：一是“文献不存在”，即引用了未注册的 DOI；二是“书目信息不符”，即文献真实存在但年份、期刊等信息与注册记录不一致；三是“引用与结论不匹配”，即文献真实存在，但并未支持原文所声称的内容。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现有做法通常是让大模型自检，但本作品的实测数据显示：直接把文本交给模型判断，误报率高达 44.9%——接近一半的正确内容会被判成有问题，且每条结论都无法追问。这说明“模型自评”既不可靠，也不可审计。因此本作品要解决的问题是：如何让对文本事实性的判断变成</w:t>
      </w:r>
      <w:r>
        <w:rPr>
          <w:rFonts w:ascii="Times New Roman" w:hAnsi="Times New Roman" w:eastAsia="宋体"/>
          <w:b/>
          <w:sz w:val="22"/>
        </w:rPr>
        <w:t>有证据、有规则、可复核</w:t>
      </w:r>
      <w:r>
        <w:rPr>
          <w:rFonts w:ascii="Times New Roman" w:hAnsi="Times New Roman" w:eastAsia="宋体"/>
          <w:b w:val="0"/>
          <w:sz w:val="22"/>
        </w:rPr>
        <w:t>的过程。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（三）研究目标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构建一条可执行、可验证的事实核验流水线，形成五环节完整闭环。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确立“无证据不判错”的判定底线，区分“文献存在”“书目一致”“内容被支持”三个层面。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以确定性规则表取代模型主观评分，使每条结论可回溯到证据与规则编号。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引入跨厂商独立复核，确保“改了”与“改对了”是两个独立问题。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建立标注测试集与多基线对照实验，如实公开失败案例与技术边界。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二、技术方案与实现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（一）系统架构与执行闭环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系统采用“界面层—编排层—能力层—数据层”的分层结构。编排层由 11 步流水线组成，覆盖赛题要求的五个环节：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4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实现方式</w:t>
            </w:r>
          </w:p>
        </w:tc>
        <w:tc>
          <w:tcPr>
            <w:tcW w:type="dxa" w:w="36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可验证证据</w:t>
            </w:r>
          </w:p>
        </w:tc>
      </w:tr>
      <w:tr>
        <w:tc>
          <w:tcPr>
            <w:tcW w:type="dxa" w:w="1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任务规划</w:t>
            </w:r>
          </w:p>
        </w:tc>
        <w:tc>
          <w:tcPr>
            <w:tcW w:type="dxa" w:w="4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决定核验目标与执行顺序；内部再规划到每条主张的检索策略（DOI 精确查询 / 书目检索 / 预印本检索 / 明确不检索并说明原因）</w:t>
            </w:r>
          </w:p>
        </w:tc>
        <w:tc>
          <w:tcPr>
            <w:tcW w:type="dxa" w:w="3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每条主张的检索痕迹：查询词、命中数、未检索原因</w:t>
            </w:r>
          </w:p>
        </w:tc>
      </w:tr>
      <w:tr>
        <w:tc>
          <w:tcPr>
            <w:tcW w:type="dxa" w:w="1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工具调用</w:t>
            </w:r>
          </w:p>
        </w:tc>
        <w:tc>
          <w:tcPr>
            <w:tcW w:type="dxa" w:w="4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真实访问 Crossref、OpenAlex、arXiv 三个公开学术数据源，带最小请求间隔、结果缓存与原始响应留档</w:t>
            </w:r>
          </w:p>
        </w:tc>
        <w:tc>
          <w:tcPr>
            <w:tcW w:type="dxa" w:w="3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证据条目中的来源链接与原始响应留档路径；检索统计</w:t>
            </w:r>
          </w:p>
        </w:tc>
      </w:tr>
      <w:tr>
        <w:tc>
          <w:tcPr>
            <w:tcW w:type="dxa" w:w="1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执行反馈</w:t>
            </w:r>
          </w:p>
        </w:tc>
        <w:tc>
          <w:tcPr>
            <w:tcW w:type="dxa" w:w="4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 步流水线实时回传阶段进度；每步输入输出均为结构化数据</w:t>
            </w:r>
          </w:p>
        </w:tc>
        <w:tc>
          <w:tcPr>
            <w:tcW w:type="dxa" w:w="3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工作台的阶段进度与阶段明细面板</w:t>
            </w:r>
          </w:p>
        </w:tc>
      </w:tr>
      <w:tr>
        <w:tc>
          <w:tcPr>
            <w:tcW w:type="dxa" w:w="1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结果验证</w:t>
            </w:r>
          </w:p>
        </w:tc>
        <w:tc>
          <w:tcPr>
            <w:tcW w:type="dxa" w:w="4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双层验证：确定性规则表裁决（6 状态 / 8 类问题 / 严重度）＋ 跨厂商独立复核（3 项确定性检查 + 2 项语义检查）</w:t>
            </w:r>
          </w:p>
        </w:tc>
        <w:tc>
          <w:tcPr>
            <w:tcW w:type="dxa" w:w="3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每条结论可点开证据；显示命中规则编号；复核逐项给出结论与理由</w:t>
            </w:r>
          </w:p>
        </w:tc>
      </w:tr>
      <w:tr>
        <w:tc>
          <w:tcPr>
            <w:tcW w:type="dxa" w:w="1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异常处理</w:t>
            </w:r>
          </w:p>
        </w:tc>
        <w:tc>
          <w:tcPr>
            <w:tcW w:type="dxa" w:w="4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区分「服务端明确 404」与「网络失败」；模型调用失败降级为规则引擎并如实声明；检索失败标注「暂无法核验」；命中缓存标注数据来源</w:t>
            </w:r>
          </w:p>
        </w:tc>
        <w:tc>
          <w:tcPr>
            <w:tcW w:type="dxa" w:w="3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报告中的适用范围与局限、降级说明、规则 N0、检索失败记录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（二）判定分层与数据契约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本作品的一个关键设计是把“证据能支撑什么”变成代码级约束。证据按获取深度分级（仅元数据 / 摘要 / 全文），判定按层面分级（存在性 / 书目信息 / 内容一致性 / 文内自洽）。数据模型在构造时即强制校验：仅元数据级证据不得用于内容层面判断；判定为“存在矛盾”“部分支持”“来源冲突”时必须挂接至少一条证据；判定为“已核实”必须给出支持性证据；判定为“证据不足”必须写明还缺什么。任何违反都会导致对象无法构造，从而在系统层面杜绝“看起来有证据、其实没有”的结论。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对于无证据判断（仅在直接问模型的对照基线中使用），数据模型要求显式标记并写明理由，报告中显著标注，不允许与有证据的结论混淆。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（三）修正与独立复核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修正环节生成最小改动的修改方案：能改数字就不改整句，缺证据时只能弱化或标注不确定性，不得替换为新的具体数值。每条修正须通过独立复核，复核包含三项确定性检查（是否有证据支持、证据与修正后表述是否匹配、是否引入新事实错误）与两项语义检查（原始问题是否解决、是否出现新的无依据结论）。复核未通过或未完成的修正一律不写入正文。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复核由</w:t>
      </w:r>
      <w:r>
        <w:rPr>
          <w:rFonts w:ascii="Times New Roman" w:hAnsi="Times New Roman" w:eastAsia="宋体"/>
          <w:b/>
          <w:sz w:val="22"/>
        </w:rPr>
        <w:t>另一家厂商的模型</w:t>
      </w:r>
      <w:r>
        <w:rPr>
          <w:rFonts w:ascii="Times New Roman" w:hAnsi="Times New Roman" w:eastAsia="宋体"/>
          <w:b w:val="0"/>
          <w:sz w:val="22"/>
        </w:rPr>
        <w:t>承担，以降低同源偏差；当复核模型不可用时，系统降级为规则引擎并在报告中如实声明，绝不用规则结果冒充模型判断。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（四）AGH 运行底座与模型接入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本作品在 AGH（Agnes Harness）底座环境中开发与运行，模型服务由 AGH 统一接入。系统的分层与职责如下：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0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层次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组件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执行底座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AGH（Agnes Harness）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智能体运行与调度：任务规划、工具编排、执行反馈与异常处理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模型接入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AGH 账号：DeepSeek（默认）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主张拆分、事实审查、修正建议生成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模型接入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AGH 账号：Agnes（agnes-3.0-flash）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独立复核修正建议（3 项确定性检查 + 2 项语义检查）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外部数据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Crossref / OpenAlex / arXiv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公开学术元数据检索（免密钥，只读）</w:t>
            </w:r>
          </w:p>
        </w:tc>
      </w:tr>
    </w:tbl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调用协议：OpenAI 兼容的 Chat Completions 接口，全部返回结构化数据（Pydantic 校验）。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密钥管理：模型密钥由 AGH 统一管理，代码中不保存长期密钥；仓库经检查不含任何密钥。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成本控制：单次检测调用次数硬上限、结果缓存（相同输入复用，复跑 0 费用）、真实 token 统计。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失败处理：工具执行失败返回 isError 与真实错误信息，不返回伪装成功的空结果；模型调用失败则降级为规则引擎并在报告中声明。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（五）数据、代码与验证方法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标注测试集 100 条，覆盖 7 类；凡涉及文献的真值均经 Crossref 实测锚定（26 个 DOI：19 个存在、7 个确认 404）。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自动化测试 245 项，全部离线可跑、零成本；静态检查 pyflakes 0 告警。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每条证据保留原始响应留档，可逐条回溯核对。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代码公开于 https://github.com/depend-fy/-AI，含完整提交历史与评测存档。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三、实验结果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在同一批 100 条标注用例、同一个模型的前提下，对比“直接把文本交给模型判断”（B0）与本作品完整流程（B1）：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B0 直接问模型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B1 本项目方法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精确率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61.4%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97.6%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召回率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68.6%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78.4%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64.8%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87.0%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误报率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44.9%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2.0%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六状态完全一致率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51.0%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79.0%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证据可追溯率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69.0%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修正成功率 / 剩余错误率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0.0% / 100.0%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79.3% / 20.7%</w:t>
            </w:r>
          </w:p>
        </w:tc>
      </w:tr>
      <w:tr>
        <w:tc>
          <w:tcPr>
            <w:tcW w:type="dxa" w:w="27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新增错误率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0.0%</w:t>
            </w:r>
          </w:p>
        </w:tc>
      </w:tr>
    </w:tbl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结论：B0 的错误方式是“冤枉”——把正确内容判成有问题，而不是漏检；本方法在保持低误报率的同时提升了召回率，并使多数结论可点开证据。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四、创新点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把“判定需要证据”做成数据契约：违反即无法构造对象，从机制上杜绝无证据结论。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以确定性规则表取代模型主观评分，每条结论可回溯到具体规则编号与证据。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跨厂商独立复核修正建议，并区分“改了”与“改对了”两个问题。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以误报率而非精确率作为核心诚实指标，并主动公开全部失败案例。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如实区分“服务端明确不存在”与“检索失败”，后者不得用于暗示内容有问题。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五、诚实边界与局限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只读到摘要，未通读全文；摘要层面的判断不等于全文核实。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中文文献无法核验：Crossref / OpenAlex 未提供中文库公开接口。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非学术事实（政策、新闻、产品参数）需付费检索服务，当前不在覆盖范围。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作者与机构类核验未实现，目前仅实现年份与期刊比对。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100 条测试中 21 条状态不一致（含误报、漏判与状态不精确），已全部公开。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2"/>
        </w:rPr>
        <w:t>标注集为自建，其中 80 条为口头确认，未计算标注一致性（kappa）。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六、总结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把“判断一段科研文本是否可信”从模型的主观判断，转化为一套有证据、有规则、可复核的流程。其实测结果说明：直接询问模型不仅准确率有限，更关键的是结论无法追问；而引入外部证据、确定性规则与独立复核后，误报率可降至 2.0%，并使多数结论具备可追溯的证据链。后续工作包括接入开放获取全文、扩充标注集并引入独立标注者，以及扩展非学术事实的核验能力。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