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EF6D" w14:textId="77777777" w:rsidR="00B21BBE" w:rsidRDefault="00B21BBE" w:rsidP="00B21BBE">
      <w:pPr>
        <w:jc w:val="center"/>
      </w:pPr>
      <w:r>
        <w:t>Sustainable Demographic Projections for the (NAC) New Administrative Capital:</w:t>
      </w:r>
    </w:p>
    <w:p w14:paraId="6A1D1012" w14:textId="6ACC1B7B" w:rsidR="00B21BBE" w:rsidRDefault="00B21BBE" w:rsidP="00B21BBE">
      <w:pPr>
        <w:jc w:val="center"/>
      </w:pPr>
      <w:r>
        <w:t>A 20-Year Outlook</w:t>
      </w:r>
    </w:p>
    <w:p w14:paraId="77FE7CD2" w14:textId="77777777" w:rsidR="00B21BBE" w:rsidRDefault="00B21BBE" w:rsidP="00B21BBE"/>
    <w:p w14:paraId="79076EE9" w14:textId="77777777" w:rsidR="00B21BBE" w:rsidRDefault="00B21BBE" w:rsidP="00B21BBE">
      <w:r>
        <w:t>Gemini-Pro prompt</w:t>
      </w:r>
    </w:p>
    <w:p w14:paraId="2D36CCC4" w14:textId="77777777" w:rsidR="00B21BBE" w:rsidRDefault="00B21BBE" w:rsidP="00B21BBE"/>
    <w:p w14:paraId="2A5A593D" w14:textId="4EAD722D" w:rsidR="00B21BBE" w:rsidRDefault="00B21BBE" w:rsidP="00B21BBE">
      <w:r>
        <w:t>Create a</w:t>
      </w:r>
      <w:r w:rsidR="00D357E2">
        <w:t xml:space="preserve"> python code to generate</w:t>
      </w:r>
      <w:r>
        <w:t xml:space="preserve"> </w:t>
      </w:r>
      <w:r w:rsidR="00D357E2">
        <w:t xml:space="preserve">a </w:t>
      </w:r>
      <w:r>
        <w:t>simulated CSV dataset for residences, not less than</w:t>
      </w:r>
    </w:p>
    <w:p w14:paraId="671E516C" w14:textId="4A30C2D6" w:rsidR="00B21BBE" w:rsidRDefault="00B21BBE" w:rsidP="00B21BBE">
      <w:r>
        <w:t>100 megabytes,</w:t>
      </w:r>
      <w:r w:rsidR="00D357E2">
        <w:t xml:space="preserve"> for</w:t>
      </w:r>
      <w:r>
        <w:t xml:space="preserve"> the new capital in Egypt, from 2025-2045, regarding the</w:t>
      </w:r>
    </w:p>
    <w:p w14:paraId="11269B64" w14:textId="77777777" w:rsidR="00B21BBE" w:rsidRDefault="00B21BBE" w:rsidP="00B21BBE">
      <w:r>
        <w:t>following aspects</w:t>
      </w:r>
    </w:p>
    <w:p w14:paraId="2E5A4658" w14:textId="0D223125" w:rsidR="00B21BBE" w:rsidRDefault="00B21BBE" w:rsidP="00754360">
      <w:pPr>
        <w:pStyle w:val="ListParagraph"/>
        <w:numPr>
          <w:ilvl w:val="0"/>
          <w:numId w:val="4"/>
        </w:numPr>
      </w:pPr>
      <w:r>
        <w:t>Population ratio</w:t>
      </w:r>
      <w:r w:rsidR="00754360">
        <w:t xml:space="preserve"> is</w:t>
      </w:r>
      <w:r>
        <w:t xml:space="preserve"> (2.41), capacity, and area of the new</w:t>
      </w:r>
      <w:r w:rsidR="00EE326C">
        <w:t xml:space="preserve"> </w:t>
      </w:r>
      <w:r>
        <w:t>capital.</w:t>
      </w:r>
    </w:p>
    <w:p w14:paraId="584966F3" w14:textId="6BE3EE1B" w:rsidR="00B21BBE" w:rsidRDefault="00B21BBE" w:rsidP="00754360">
      <w:pPr>
        <w:pStyle w:val="ListParagraph"/>
        <w:numPr>
          <w:ilvl w:val="0"/>
          <w:numId w:val="4"/>
        </w:numPr>
      </w:pPr>
      <w:r>
        <w:t>The residence count will be 500,000 by the end of 2026, according to ACUD's Egypt projections.</w:t>
      </w:r>
    </w:p>
    <w:p w14:paraId="21F7A36E" w14:textId="1A052DA3" w:rsidR="00754360" w:rsidRDefault="00754360" w:rsidP="00754360">
      <w:pPr>
        <w:pStyle w:val="ListParagraph"/>
        <w:numPr>
          <w:ilvl w:val="0"/>
          <w:numId w:val="4"/>
        </w:numPr>
      </w:pPr>
      <w:r>
        <w:t>Use socio-economic rules.</w:t>
      </w:r>
    </w:p>
    <w:p w14:paraId="3D06DEE4" w14:textId="789BC1C1" w:rsidR="00754360" w:rsidRDefault="00754360" w:rsidP="00754360">
      <w:pPr>
        <w:pStyle w:val="ListParagraph"/>
        <w:numPr>
          <w:ilvl w:val="0"/>
          <w:numId w:val="4"/>
        </w:numPr>
      </w:pPr>
      <w:r>
        <w:t>Use these websites to identify the Income per year of each career (</w:t>
      </w:r>
      <w:r w:rsidRPr="00754360">
        <w:t>Bayt</w:t>
      </w:r>
      <w:r>
        <w:t xml:space="preserve">, </w:t>
      </w:r>
      <w:r w:rsidRPr="00754360">
        <w:t>Paylab Egypt</w:t>
      </w:r>
      <w:r>
        <w:t xml:space="preserve">, </w:t>
      </w:r>
      <w:r w:rsidRPr="00754360">
        <w:t>Glassdoor</w:t>
      </w:r>
      <w:r>
        <w:t xml:space="preserve">, </w:t>
      </w:r>
      <w:r w:rsidRPr="00754360">
        <w:t>Payscale</w:t>
      </w:r>
      <w:r>
        <w:t xml:space="preserve">, </w:t>
      </w:r>
      <w:r w:rsidRPr="00754360">
        <w:t>SalaryExpert</w:t>
      </w:r>
      <w:r>
        <w:t xml:space="preserve">, </w:t>
      </w:r>
      <w:r w:rsidRPr="00754360">
        <w:t>TalentUp</w:t>
      </w:r>
      <w:r>
        <w:t>).</w:t>
      </w:r>
    </w:p>
    <w:p w14:paraId="659A1F52" w14:textId="56C98337" w:rsidR="00B21BBE" w:rsidRDefault="00D357E2" w:rsidP="00B21BBE">
      <w:r>
        <w:t>f</w:t>
      </w:r>
      <w:r w:rsidR="00B21BBE">
        <w:t xml:space="preserve">ields to be included: </w:t>
      </w:r>
    </w:p>
    <w:p w14:paraId="67856000" w14:textId="1E54B0DB" w:rsidR="00B21BBE" w:rsidRDefault="00B21BBE" w:rsidP="009D24DF">
      <w:pPr>
        <w:pStyle w:val="ListParagraph"/>
        <w:numPr>
          <w:ilvl w:val="0"/>
          <w:numId w:val="1"/>
        </w:numPr>
      </w:pPr>
      <w:r>
        <w:t>Age</w:t>
      </w:r>
      <w:r w:rsidR="009D24DF">
        <w:t xml:space="preserve"> </w:t>
      </w:r>
      <w:r>
        <w:t xml:space="preserve">(newborn up to </w:t>
      </w:r>
      <w:r w:rsidR="002A31A2">
        <w:t>100</w:t>
      </w:r>
      <w:r>
        <w:t xml:space="preserve"> years)</w:t>
      </w:r>
      <w:r w:rsidR="009D24DF">
        <w:t>, u</w:t>
      </w:r>
      <w:r>
        <w:t>se the following percentage</w:t>
      </w:r>
      <w:r w:rsidR="009D24DF">
        <w:t>s</w:t>
      </w:r>
    </w:p>
    <w:p w14:paraId="02C0CD06" w14:textId="1898F115" w:rsidR="00B21BBE" w:rsidRDefault="00B21BBE" w:rsidP="00B21BBE">
      <w:pPr>
        <w:pStyle w:val="ListParagraph"/>
        <w:numPr>
          <w:ilvl w:val="0"/>
          <w:numId w:val="3"/>
        </w:numPr>
      </w:pPr>
      <w:r>
        <w:t xml:space="preserve">Main Age Groups </w:t>
      </w:r>
    </w:p>
    <w:p w14:paraId="692D15B1" w14:textId="4552A494" w:rsidR="00B21BBE" w:rsidRDefault="00B21BBE" w:rsidP="009D24DF">
      <w:pPr>
        <w:ind w:left="1440"/>
      </w:pPr>
      <w:r>
        <w:t>According to the United Nations and World Bank data (for the period 2025/2026), the population is divided into three main categories:</w:t>
      </w:r>
    </w:p>
    <w:p w14:paraId="5D1B5EFC" w14:textId="36953C79" w:rsidR="00B21BBE" w:rsidRDefault="00B21BBE" w:rsidP="009D24DF">
      <w:pPr>
        <w:pStyle w:val="ListParagraph"/>
        <w:numPr>
          <w:ilvl w:val="0"/>
          <w:numId w:val="2"/>
        </w:numPr>
      </w:pPr>
      <w:r>
        <w:t>Children (0 - 14 years): Constitute approximately 32% of the total population.</w:t>
      </w:r>
    </w:p>
    <w:p w14:paraId="719B3F7E" w14:textId="18E75DB4" w:rsidR="00B21BBE" w:rsidRDefault="00B21BBE" w:rsidP="009D24DF">
      <w:pPr>
        <w:pStyle w:val="ListParagraph"/>
        <w:numPr>
          <w:ilvl w:val="0"/>
          <w:numId w:val="2"/>
        </w:numPr>
      </w:pPr>
      <w:r>
        <w:t>Working-age population (15 - 64 years): Constitute the largest segment, reaching up to 63%. This reflects a massive workforce and significant productive potential (known as the demographic window).</w:t>
      </w:r>
    </w:p>
    <w:p w14:paraId="1C1C9D72" w14:textId="77777777" w:rsidR="009D24DF" w:rsidRDefault="00B21BBE" w:rsidP="009D24DF">
      <w:pPr>
        <w:pStyle w:val="ListParagraph"/>
        <w:numPr>
          <w:ilvl w:val="0"/>
          <w:numId w:val="2"/>
        </w:numPr>
      </w:pPr>
      <w:r>
        <w:t>Elderly (65 years and over): Their percentage is only about 5%, which is relatively low compared to developed countries.</w:t>
      </w:r>
    </w:p>
    <w:p w14:paraId="75FA5E50" w14:textId="77777777" w:rsidR="009D24DF" w:rsidRDefault="00B21BBE" w:rsidP="009D24DF">
      <w:pPr>
        <w:pStyle w:val="ListParagraph"/>
        <w:numPr>
          <w:ilvl w:val="0"/>
          <w:numId w:val="2"/>
        </w:numPr>
      </w:pPr>
      <w:r>
        <w:t>Important Demographic Indicators for 2026</w:t>
      </w:r>
    </w:p>
    <w:p w14:paraId="54760449" w14:textId="77777777" w:rsidR="009D24DF" w:rsidRDefault="00B21BBE" w:rsidP="009D24DF">
      <w:pPr>
        <w:pStyle w:val="ListParagraph"/>
        <w:numPr>
          <w:ilvl w:val="1"/>
          <w:numId w:val="2"/>
        </w:numPr>
      </w:pPr>
      <w:r>
        <w:t>Median Age: The median age in Egypt is 24.7 years. This means that half of Egypt's population is younger than 24.7 years, and the other half is older, which confirms the youthfulness of the Egyptian society.</w:t>
      </w:r>
    </w:p>
    <w:p w14:paraId="53F794DB" w14:textId="77777777" w:rsidR="009D24DF" w:rsidRDefault="00B21BBE" w:rsidP="009D24DF">
      <w:pPr>
        <w:pStyle w:val="ListParagraph"/>
        <w:numPr>
          <w:ilvl w:val="1"/>
          <w:numId w:val="2"/>
        </w:numPr>
      </w:pPr>
      <w:r>
        <w:lastRenderedPageBreak/>
        <w:t>Youth Percentage: More than 51% of the total population is under the age of 25.</w:t>
      </w:r>
    </w:p>
    <w:p w14:paraId="6538384C" w14:textId="0B4E3FF0" w:rsidR="00B21BBE" w:rsidRDefault="00B21BBE" w:rsidP="009D24DF">
      <w:pPr>
        <w:pStyle w:val="ListParagraph"/>
        <w:numPr>
          <w:ilvl w:val="1"/>
          <w:numId w:val="2"/>
        </w:numPr>
      </w:pPr>
      <w:r>
        <w:t>Dependency Ratio: With 63% of the population in the working age, the dependency ratio is considered moderate, as approximately every two individuals of working age support one individual from the non-working age groups (children or the elderly).</w:t>
      </w:r>
    </w:p>
    <w:p w14:paraId="38D4B7D7" w14:textId="77777777" w:rsidR="00B21BBE" w:rsidRDefault="00B21BBE" w:rsidP="00B21BBE"/>
    <w:p w14:paraId="1222AF66" w14:textId="23EC1C96" w:rsidR="006820E7" w:rsidRDefault="006820E7" w:rsidP="00B21BBE">
      <w:pPr>
        <w:pStyle w:val="ListParagraph"/>
        <w:numPr>
          <w:ilvl w:val="0"/>
          <w:numId w:val="1"/>
        </w:numPr>
      </w:pPr>
      <w:r>
        <w:t>Year of Birth.</w:t>
      </w:r>
    </w:p>
    <w:p w14:paraId="1DEB14C3" w14:textId="43D39D18" w:rsidR="006820E7" w:rsidRDefault="006820E7" w:rsidP="00B21BBE">
      <w:pPr>
        <w:pStyle w:val="ListParagraph"/>
        <w:numPr>
          <w:ilvl w:val="0"/>
          <w:numId w:val="1"/>
        </w:numPr>
      </w:pPr>
      <w:r>
        <w:t>Year of Death.</w:t>
      </w:r>
    </w:p>
    <w:p w14:paraId="132B3FFA" w14:textId="10F13FA1" w:rsidR="00B21BBE" w:rsidRDefault="00B21BBE" w:rsidP="00B21BBE">
      <w:pPr>
        <w:pStyle w:val="ListParagraph"/>
        <w:numPr>
          <w:ilvl w:val="0"/>
          <w:numId w:val="1"/>
        </w:numPr>
      </w:pPr>
      <w:r>
        <w:t>Gender Distribution The ratio between males and females is very close, with a slight majority of males:</w:t>
      </w:r>
    </w:p>
    <w:p w14:paraId="0D5D3153" w14:textId="77777777" w:rsidR="00B21BBE" w:rsidRDefault="00B21BBE" w:rsidP="00A21280">
      <w:pPr>
        <w:pStyle w:val="ListParagraph"/>
        <w:numPr>
          <w:ilvl w:val="0"/>
          <w:numId w:val="5"/>
        </w:numPr>
      </w:pPr>
      <w:r>
        <w:t>Males: Approximately 60.6 million people (about 50.5%).</w:t>
      </w:r>
    </w:p>
    <w:p w14:paraId="2E6EBA88" w14:textId="11A1F5BE" w:rsidR="00B21BBE" w:rsidRDefault="00B21BBE" w:rsidP="00A21280">
      <w:pPr>
        <w:pStyle w:val="ListParagraph"/>
        <w:numPr>
          <w:ilvl w:val="0"/>
          <w:numId w:val="5"/>
        </w:numPr>
      </w:pPr>
      <w:r>
        <w:t>Females: Approximately 59.5 million people (about 49.5%).</w:t>
      </w:r>
    </w:p>
    <w:p w14:paraId="24EE72BC" w14:textId="4A5188D2" w:rsidR="00B21BBE" w:rsidRDefault="00B21BBE" w:rsidP="00B21BBE">
      <w:pPr>
        <w:pStyle w:val="ListParagraph"/>
        <w:numPr>
          <w:ilvl w:val="0"/>
          <w:numId w:val="1"/>
        </w:numPr>
      </w:pPr>
      <w:r>
        <w:t>Career.</w:t>
      </w:r>
    </w:p>
    <w:p w14:paraId="14C88DD3" w14:textId="0A005AEA" w:rsidR="00B21BBE" w:rsidRDefault="00B21BBE" w:rsidP="00B21BBE">
      <w:pPr>
        <w:pStyle w:val="ListParagraph"/>
        <w:numPr>
          <w:ilvl w:val="0"/>
          <w:numId w:val="1"/>
        </w:numPr>
      </w:pPr>
      <w:r>
        <w:t>Income per year</w:t>
      </w:r>
      <w:r w:rsidR="009D24DF">
        <w:t>.</w:t>
      </w:r>
    </w:p>
    <w:p w14:paraId="2C52C4B7" w14:textId="568C363C" w:rsidR="00B21BBE" w:rsidRDefault="009D24DF" w:rsidP="00B21BBE">
      <w:pPr>
        <w:pStyle w:val="ListParagraph"/>
        <w:numPr>
          <w:ilvl w:val="0"/>
          <w:numId w:val="1"/>
        </w:numPr>
      </w:pPr>
      <w:r>
        <w:t>R</w:t>
      </w:r>
      <w:r w:rsidR="00B21BBE">
        <w:t>esidence site</w:t>
      </w:r>
      <w:r>
        <w:t>.</w:t>
      </w:r>
    </w:p>
    <w:p w14:paraId="3940B8A8" w14:textId="71B382BB" w:rsidR="00B21BBE" w:rsidRDefault="009D24DF" w:rsidP="00B21BBE">
      <w:pPr>
        <w:pStyle w:val="ListParagraph"/>
        <w:numPr>
          <w:ilvl w:val="0"/>
          <w:numId w:val="1"/>
        </w:numPr>
      </w:pPr>
      <w:r>
        <w:t>T</w:t>
      </w:r>
      <w:r w:rsidR="00B21BBE">
        <w:t>ype of residence</w:t>
      </w:r>
      <w:r>
        <w:t>.</w:t>
      </w:r>
    </w:p>
    <w:p w14:paraId="496EA6A9" w14:textId="04EE64AE" w:rsidR="007D7949" w:rsidRDefault="007D7949" w:rsidP="007D7949">
      <w:pPr>
        <w:pStyle w:val="ListParagraph"/>
        <w:numPr>
          <w:ilvl w:val="0"/>
          <w:numId w:val="1"/>
        </w:numPr>
      </w:pPr>
      <w:r>
        <w:t>Real estate ID (</w:t>
      </w:r>
      <w:r>
        <w:rPr>
          <w:rFonts w:hint="cs"/>
          <w:rtl/>
        </w:rPr>
        <w:t>ا</w:t>
      </w:r>
      <w:r w:rsidRPr="007D7949">
        <w:rPr>
          <w:rtl/>
        </w:rPr>
        <w:t>لرقم القومي للعقار</w:t>
      </w:r>
      <w:r>
        <w:t>)</w:t>
      </w:r>
      <w:r w:rsidR="002A31A2">
        <w:t>.</w:t>
      </w:r>
    </w:p>
    <w:p w14:paraId="55D56CD6" w14:textId="6AF4FD8A" w:rsidR="00A21280" w:rsidRDefault="009D24DF" w:rsidP="00A21280">
      <w:pPr>
        <w:pStyle w:val="ListParagraph"/>
        <w:numPr>
          <w:ilvl w:val="0"/>
          <w:numId w:val="1"/>
        </w:numPr>
      </w:pPr>
      <w:r>
        <w:t>M</w:t>
      </w:r>
      <w:r w:rsidR="00B21BBE">
        <w:t>arital status</w:t>
      </w:r>
      <w:r w:rsidR="007D7BFC">
        <w:t xml:space="preserve"> use marriage average age:</w:t>
      </w:r>
    </w:p>
    <w:p w14:paraId="1116D18F" w14:textId="32AFE0D2" w:rsidR="00A21280" w:rsidRDefault="00A21280" w:rsidP="00A21280">
      <w:pPr>
        <w:pStyle w:val="ListParagraph"/>
        <w:numPr>
          <w:ilvl w:val="0"/>
          <w:numId w:val="6"/>
        </w:numPr>
      </w:pPr>
      <w:r w:rsidRPr="00A21280">
        <w:t>Average age of the husband:</w:t>
      </w:r>
      <w:r>
        <w:t xml:space="preserve"> 30.6 - 3</w:t>
      </w:r>
      <w:r w:rsidR="00E2369D">
        <w:t>1</w:t>
      </w:r>
    </w:p>
    <w:p w14:paraId="343EA15B" w14:textId="0FBF230A" w:rsidR="00A21280" w:rsidRDefault="00A21280" w:rsidP="00A21280">
      <w:pPr>
        <w:pStyle w:val="ListParagraph"/>
        <w:numPr>
          <w:ilvl w:val="0"/>
          <w:numId w:val="6"/>
        </w:numPr>
      </w:pPr>
      <w:r w:rsidRPr="00A21280">
        <w:t>Average age of the wife:</w:t>
      </w:r>
      <w:r>
        <w:t xml:space="preserve"> 24.8 - 25.2</w:t>
      </w:r>
    </w:p>
    <w:p w14:paraId="0CEEEB59" w14:textId="3B2FB872" w:rsidR="007D7949" w:rsidRDefault="009D24DF" w:rsidP="00DC5080">
      <w:pPr>
        <w:pStyle w:val="ListParagraph"/>
        <w:numPr>
          <w:ilvl w:val="0"/>
          <w:numId w:val="1"/>
        </w:numPr>
      </w:pPr>
      <w:r>
        <w:t>N</w:t>
      </w:r>
      <w:r w:rsidR="00B21BBE">
        <w:t>umber of family members</w:t>
      </w:r>
      <w:r w:rsidR="00DC5080">
        <w:t>, c</w:t>
      </w:r>
      <w:r w:rsidR="001B1F7D">
        <w:t xml:space="preserve">onsider </w:t>
      </w:r>
      <w:r w:rsidR="007D7949">
        <w:t>average of 4 (male, female and two children)</w:t>
      </w:r>
    </w:p>
    <w:p w14:paraId="55E9F776" w14:textId="4E724B86" w:rsidR="00B21BBE" w:rsidRDefault="009D24DF" w:rsidP="00B21BBE">
      <w:pPr>
        <w:pStyle w:val="ListParagraph"/>
        <w:numPr>
          <w:ilvl w:val="0"/>
          <w:numId w:val="1"/>
        </w:numPr>
      </w:pPr>
      <w:r>
        <w:t>H</w:t>
      </w:r>
      <w:r w:rsidR="00B21BBE">
        <w:t>ealth percent</w:t>
      </w:r>
      <w:r>
        <w:t>.</w:t>
      </w:r>
    </w:p>
    <w:p w14:paraId="489F9F90" w14:textId="3170D9FA" w:rsidR="00705CB6" w:rsidRDefault="00705CB6" w:rsidP="00B21BBE">
      <w:pPr>
        <w:pStyle w:val="ListParagraph"/>
        <w:numPr>
          <w:ilvl w:val="0"/>
          <w:numId w:val="1"/>
        </w:numPr>
      </w:pPr>
      <w:r>
        <w:t>Health Condition</w:t>
      </w:r>
      <w:r w:rsidR="00F860FB">
        <w:t>:</w:t>
      </w:r>
    </w:p>
    <w:p w14:paraId="6B0651B3" w14:textId="63D41D17" w:rsidR="00705CB6" w:rsidRDefault="00705CB6" w:rsidP="00705CB6">
      <w:pPr>
        <w:pStyle w:val="ListParagraph"/>
        <w:numPr>
          <w:ilvl w:val="0"/>
          <w:numId w:val="8"/>
        </w:numPr>
      </w:pPr>
      <w:r w:rsidRPr="00705CB6">
        <w:t>Kidney dialysis</w:t>
      </w:r>
      <w:r>
        <w:t xml:space="preserve"> (</w:t>
      </w:r>
      <w:r w:rsidR="00395BE6">
        <w:rPr>
          <w:rFonts w:hint="cs"/>
          <w:rtl/>
        </w:rPr>
        <w:t>0.00055</w:t>
      </w:r>
      <w:r w:rsidR="006820E7">
        <w:t xml:space="preserve"> of total residence</w:t>
      </w:r>
      <w:r>
        <w:t>)</w:t>
      </w:r>
      <w:r w:rsidR="00F860FB">
        <w:t>.</w:t>
      </w:r>
    </w:p>
    <w:p w14:paraId="79F9684C" w14:textId="77777777" w:rsidR="00395BE6" w:rsidRDefault="00395BE6" w:rsidP="00705CB6">
      <w:pPr>
        <w:pStyle w:val="ListParagraph"/>
        <w:numPr>
          <w:ilvl w:val="0"/>
          <w:numId w:val="8"/>
        </w:numPr>
      </w:pPr>
    </w:p>
    <w:p w14:paraId="0CFD27C5" w14:textId="7C8CF33D" w:rsidR="00747B9A" w:rsidRDefault="00747B9A" w:rsidP="00747B9A">
      <w:pPr>
        <w:pStyle w:val="ListParagraph"/>
        <w:numPr>
          <w:ilvl w:val="0"/>
          <w:numId w:val="1"/>
        </w:numPr>
      </w:pPr>
      <w:r>
        <w:t>Have solar system (0 or 1).</w:t>
      </w:r>
    </w:p>
    <w:p w14:paraId="5F11A8AD" w14:textId="7E6978BA" w:rsidR="00747B9A" w:rsidRDefault="00747B9A" w:rsidP="00747B9A">
      <w:pPr>
        <w:pStyle w:val="ListParagraph"/>
        <w:numPr>
          <w:ilvl w:val="0"/>
          <w:numId w:val="1"/>
        </w:numPr>
      </w:pPr>
      <w:r>
        <w:t xml:space="preserve">Have Air Condition </w:t>
      </w:r>
      <w:r>
        <w:t>(0 or 1)</w:t>
      </w:r>
      <w:r>
        <w:t>.</w:t>
      </w:r>
    </w:p>
    <w:p w14:paraId="37435E7B" w14:textId="2644177C" w:rsidR="00747B9A" w:rsidRDefault="00747B9A" w:rsidP="00747B9A">
      <w:pPr>
        <w:pStyle w:val="ListParagraph"/>
        <w:numPr>
          <w:ilvl w:val="0"/>
          <w:numId w:val="1"/>
        </w:numPr>
      </w:pPr>
      <w:r>
        <w:t>Electricity consumption average per month by KW.</w:t>
      </w:r>
    </w:p>
    <w:p w14:paraId="17427374" w14:textId="6EDC7295" w:rsidR="00747B9A" w:rsidRDefault="00747B9A" w:rsidP="00747B9A">
      <w:pPr>
        <w:pStyle w:val="ListParagraph"/>
        <w:numPr>
          <w:ilvl w:val="0"/>
          <w:numId w:val="1"/>
        </w:numPr>
      </w:pPr>
      <w:r w:rsidRPr="00747B9A">
        <w:t xml:space="preserve">Average monthly gas consumption in cubic </w:t>
      </w:r>
      <w:r w:rsidRPr="00747B9A">
        <w:t>meters</w:t>
      </w:r>
      <w:r>
        <w:t>.</w:t>
      </w:r>
    </w:p>
    <w:p w14:paraId="3E433F99" w14:textId="7D9DEC12" w:rsidR="004A01C7" w:rsidRDefault="004A01C7" w:rsidP="004A01C7">
      <w:pPr>
        <w:pStyle w:val="ListParagraph"/>
        <w:numPr>
          <w:ilvl w:val="0"/>
          <w:numId w:val="1"/>
        </w:numPr>
      </w:pPr>
      <w:r>
        <w:t>Carbon footprint.</w:t>
      </w:r>
    </w:p>
    <w:p w14:paraId="585A59C4" w14:textId="36A397E4" w:rsidR="007D7949" w:rsidRDefault="00B21BBE" w:rsidP="007D7949">
      <w:pPr>
        <w:pStyle w:val="ListParagraph"/>
        <w:numPr>
          <w:ilvl w:val="0"/>
          <w:numId w:val="1"/>
        </w:numPr>
      </w:pPr>
      <w:r>
        <w:t>Monthly Energy Consumption</w:t>
      </w:r>
      <w:r w:rsidR="00B935D1">
        <w:t>.</w:t>
      </w:r>
    </w:p>
    <w:p w14:paraId="18035AFF" w14:textId="3D06D255" w:rsidR="007D7949" w:rsidRDefault="00B21BBE" w:rsidP="007D7949">
      <w:pPr>
        <w:pStyle w:val="ListParagraph"/>
        <w:numPr>
          <w:ilvl w:val="0"/>
          <w:numId w:val="1"/>
        </w:numPr>
      </w:pPr>
      <w:r>
        <w:t>Green</w:t>
      </w:r>
      <w:r w:rsidR="00B935D1">
        <w:t xml:space="preserve"> </w:t>
      </w:r>
      <w:r>
        <w:t>Fuel</w:t>
      </w:r>
      <w:r w:rsidR="00B935D1">
        <w:t xml:space="preserve"> </w:t>
      </w:r>
      <w:r>
        <w:t>Vehicle</w:t>
      </w:r>
      <w:r w:rsidR="00B935D1">
        <w:t xml:space="preserve"> </w:t>
      </w:r>
      <w:r>
        <w:t>Ownership</w:t>
      </w:r>
      <w:r w:rsidR="00B935D1">
        <w:t>.</w:t>
      </w:r>
      <w:r>
        <w:t xml:space="preserve"> </w:t>
      </w:r>
    </w:p>
    <w:p w14:paraId="7371A72F" w14:textId="49BFCBD0" w:rsidR="007D7949" w:rsidRDefault="00B21BBE" w:rsidP="007D7949">
      <w:pPr>
        <w:pStyle w:val="ListParagraph"/>
        <w:numPr>
          <w:ilvl w:val="0"/>
          <w:numId w:val="1"/>
        </w:numPr>
      </w:pPr>
      <w:r>
        <w:t>Public</w:t>
      </w:r>
      <w:r w:rsidR="00B935D1">
        <w:t xml:space="preserve"> </w:t>
      </w:r>
      <w:r>
        <w:t>Transit</w:t>
      </w:r>
      <w:r w:rsidR="00B935D1">
        <w:t xml:space="preserve"> </w:t>
      </w:r>
      <w:r>
        <w:t>Green</w:t>
      </w:r>
      <w:r w:rsidR="00B935D1">
        <w:t xml:space="preserve"> </w:t>
      </w:r>
      <w:r>
        <w:t>Fuel</w:t>
      </w:r>
      <w:r w:rsidR="00B935D1">
        <w:t xml:space="preserve"> </w:t>
      </w:r>
      <w:r>
        <w:t>Usage</w:t>
      </w:r>
      <w:r w:rsidR="00B935D1">
        <w:t>.</w:t>
      </w:r>
    </w:p>
    <w:p w14:paraId="53EA91D1" w14:textId="216D9B60" w:rsidR="00705CB6" w:rsidRDefault="00B21BBE" w:rsidP="002A31A2">
      <w:pPr>
        <w:pStyle w:val="ListParagraph"/>
        <w:numPr>
          <w:ilvl w:val="0"/>
          <w:numId w:val="1"/>
        </w:numPr>
      </w:pPr>
      <w:r>
        <w:t>Grid</w:t>
      </w:r>
      <w:r w:rsidR="00B935D1">
        <w:t xml:space="preserve"> </w:t>
      </w:r>
      <w:r>
        <w:t>Green</w:t>
      </w:r>
      <w:r w:rsidR="00B935D1">
        <w:t xml:space="preserve"> </w:t>
      </w:r>
      <w:r>
        <w:t>Hydrogen</w:t>
      </w:r>
      <w:r w:rsidR="00B935D1">
        <w:t xml:space="preserve"> </w:t>
      </w:r>
      <w:r>
        <w:t>Blend</w:t>
      </w:r>
      <w:r w:rsidR="00B935D1">
        <w:t xml:space="preserve"> </w:t>
      </w:r>
      <w:r>
        <w:t>Percent</w:t>
      </w:r>
      <w:r w:rsidR="00B935D1">
        <w:t>.</w:t>
      </w:r>
    </w:p>
    <w:p w14:paraId="08CB2842" w14:textId="77777777" w:rsidR="00B21BBE" w:rsidRDefault="00B21BBE" w:rsidP="00B21BBE">
      <w:r>
        <w:t>Consider the CAPMAS Egypt reports and ratios (demographic analysis)</w:t>
      </w:r>
    </w:p>
    <w:p w14:paraId="74D42C56" w14:textId="343A1CA4" w:rsidR="00B21BBE" w:rsidRDefault="00B21BBE" w:rsidP="00DC5080">
      <w:r>
        <w:lastRenderedPageBreak/>
        <w:t xml:space="preserve">Divide the result into files for each </w:t>
      </w:r>
      <w:r w:rsidR="009D24DF">
        <w:t xml:space="preserve">5 </w:t>
      </w:r>
      <w:r w:rsidR="00DC5080">
        <w:t>years</w:t>
      </w:r>
    </w:p>
    <w:p w14:paraId="0AB5E092" w14:textId="183B08F4" w:rsidR="00B21BBE" w:rsidRDefault="00B21BBE" w:rsidP="00EE326C">
      <w:r>
        <w:t>Consider Water and foods</w:t>
      </w:r>
      <w:r w:rsidR="00EE326C">
        <w:t xml:space="preserve"> </w:t>
      </w:r>
    </w:p>
    <w:p w14:paraId="2D753D01" w14:textId="5213EFFA" w:rsidR="000F0468" w:rsidRDefault="009D24DF" w:rsidP="00EE326C">
      <w:r>
        <w:t>Adding any field would be important for prediction analysis and sustainable development</w:t>
      </w:r>
      <w:r w:rsidR="00EE326C">
        <w:t>.</w:t>
      </w:r>
    </w:p>
    <w:sectPr w:rsidR="000F0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2A14"/>
    <w:multiLevelType w:val="hybridMultilevel"/>
    <w:tmpl w:val="BCC8B720"/>
    <w:lvl w:ilvl="0" w:tplc="8B1AF522">
      <w:start w:val="1"/>
      <w:numFmt w:val="bullet"/>
      <w:lvlText w:val="-"/>
      <w:lvlJc w:val="left"/>
      <w:pPr>
        <w:ind w:left="1080" w:hanging="360"/>
      </w:pPr>
      <w:rPr>
        <w:rFonts w:ascii="Aptos" w:eastAsiaTheme="minorHAnsi" w:hAnsi="Aptos" w:cstheme="minorBidi" w:hint="default"/>
      </w:rPr>
    </w:lvl>
    <w:lvl w:ilvl="1" w:tplc="04090015">
      <w:start w:val="1"/>
      <w:numFmt w:val="upperLetter"/>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636B1D"/>
    <w:multiLevelType w:val="hybridMultilevel"/>
    <w:tmpl w:val="B19C599C"/>
    <w:lvl w:ilvl="0" w:tplc="176875B2">
      <w:start w:val="1"/>
      <w:numFmt w:val="decimal"/>
      <w:lvlText w:val="%1-"/>
      <w:lvlJc w:val="left"/>
      <w:pPr>
        <w:ind w:left="720" w:hanging="360"/>
      </w:pPr>
      <w:rPr>
        <w:rFonts w:hint="default"/>
      </w:rPr>
    </w:lvl>
    <w:lvl w:ilvl="1" w:tplc="93BC2CA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82C73"/>
    <w:multiLevelType w:val="hybridMultilevel"/>
    <w:tmpl w:val="D6B67B12"/>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6DE79EC"/>
    <w:multiLevelType w:val="hybridMultilevel"/>
    <w:tmpl w:val="E35866B0"/>
    <w:lvl w:ilvl="0" w:tplc="0409001B">
      <w:start w:val="1"/>
      <w:numFmt w:val="lowerRoman"/>
      <w:lvlText w:val="%1."/>
      <w:lvlJc w:val="righ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F61D1F"/>
    <w:multiLevelType w:val="hybridMultilevel"/>
    <w:tmpl w:val="E03E483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9AA1FE0"/>
    <w:multiLevelType w:val="hybridMultilevel"/>
    <w:tmpl w:val="DFECDD62"/>
    <w:lvl w:ilvl="0" w:tplc="8B1AF522">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6529D3"/>
    <w:multiLevelType w:val="hybridMultilevel"/>
    <w:tmpl w:val="790AE2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B323DAD"/>
    <w:multiLevelType w:val="hybridMultilevel"/>
    <w:tmpl w:val="B658E8C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505171687">
    <w:abstractNumId w:val="1"/>
  </w:num>
  <w:num w:numId="2" w16cid:durableId="1601720703">
    <w:abstractNumId w:val="3"/>
  </w:num>
  <w:num w:numId="3" w16cid:durableId="242572460">
    <w:abstractNumId w:val="0"/>
  </w:num>
  <w:num w:numId="4" w16cid:durableId="1731077835">
    <w:abstractNumId w:val="5"/>
  </w:num>
  <w:num w:numId="5" w16cid:durableId="1082532209">
    <w:abstractNumId w:val="2"/>
  </w:num>
  <w:num w:numId="6" w16cid:durableId="623849248">
    <w:abstractNumId w:val="4"/>
  </w:num>
  <w:num w:numId="7" w16cid:durableId="450173919">
    <w:abstractNumId w:val="6"/>
  </w:num>
  <w:num w:numId="8" w16cid:durableId="417676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468"/>
    <w:rsid w:val="00051C11"/>
    <w:rsid w:val="000F0468"/>
    <w:rsid w:val="001B1F7D"/>
    <w:rsid w:val="002A31A2"/>
    <w:rsid w:val="00395BE6"/>
    <w:rsid w:val="004A01C7"/>
    <w:rsid w:val="006820E7"/>
    <w:rsid w:val="006B6778"/>
    <w:rsid w:val="00705CB6"/>
    <w:rsid w:val="00747B9A"/>
    <w:rsid w:val="00754360"/>
    <w:rsid w:val="007759AE"/>
    <w:rsid w:val="007D7949"/>
    <w:rsid w:val="007D7BFC"/>
    <w:rsid w:val="009D24DF"/>
    <w:rsid w:val="00A21280"/>
    <w:rsid w:val="00B21BBE"/>
    <w:rsid w:val="00B935D1"/>
    <w:rsid w:val="00D357E2"/>
    <w:rsid w:val="00DC5080"/>
    <w:rsid w:val="00E2369D"/>
    <w:rsid w:val="00EE326C"/>
    <w:rsid w:val="00F860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72FCD"/>
  <w15:chartTrackingRefBased/>
  <w15:docId w15:val="{0553E91B-8437-4F04-A8C8-837B2CE55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468"/>
    <w:rPr>
      <w:rFonts w:eastAsiaTheme="majorEastAsia" w:cstheme="majorBidi"/>
      <w:color w:val="272727" w:themeColor="text1" w:themeTint="D8"/>
    </w:rPr>
  </w:style>
  <w:style w:type="paragraph" w:styleId="Title">
    <w:name w:val="Title"/>
    <w:basedOn w:val="Normal"/>
    <w:next w:val="Normal"/>
    <w:link w:val="TitleChar"/>
    <w:uiPriority w:val="10"/>
    <w:qFormat/>
    <w:rsid w:val="000F0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468"/>
    <w:pPr>
      <w:spacing w:before="160"/>
      <w:jc w:val="center"/>
    </w:pPr>
    <w:rPr>
      <w:i/>
      <w:iCs/>
      <w:color w:val="404040" w:themeColor="text1" w:themeTint="BF"/>
    </w:rPr>
  </w:style>
  <w:style w:type="character" w:customStyle="1" w:styleId="QuoteChar">
    <w:name w:val="Quote Char"/>
    <w:basedOn w:val="DefaultParagraphFont"/>
    <w:link w:val="Quote"/>
    <w:uiPriority w:val="29"/>
    <w:rsid w:val="000F0468"/>
    <w:rPr>
      <w:i/>
      <w:iCs/>
      <w:color w:val="404040" w:themeColor="text1" w:themeTint="BF"/>
    </w:rPr>
  </w:style>
  <w:style w:type="paragraph" w:styleId="ListParagraph">
    <w:name w:val="List Paragraph"/>
    <w:basedOn w:val="Normal"/>
    <w:uiPriority w:val="34"/>
    <w:qFormat/>
    <w:rsid w:val="000F0468"/>
    <w:pPr>
      <w:ind w:left="720"/>
      <w:contextualSpacing/>
    </w:pPr>
  </w:style>
  <w:style w:type="character" w:styleId="IntenseEmphasis">
    <w:name w:val="Intense Emphasis"/>
    <w:basedOn w:val="DefaultParagraphFont"/>
    <w:uiPriority w:val="21"/>
    <w:qFormat/>
    <w:rsid w:val="000F0468"/>
    <w:rPr>
      <w:i/>
      <w:iCs/>
      <w:color w:val="0F4761" w:themeColor="accent1" w:themeShade="BF"/>
    </w:rPr>
  </w:style>
  <w:style w:type="paragraph" w:styleId="IntenseQuote">
    <w:name w:val="Intense Quote"/>
    <w:basedOn w:val="Normal"/>
    <w:next w:val="Normal"/>
    <w:link w:val="IntenseQuoteChar"/>
    <w:uiPriority w:val="30"/>
    <w:qFormat/>
    <w:rsid w:val="000F0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468"/>
    <w:rPr>
      <w:i/>
      <w:iCs/>
      <w:color w:val="0F4761" w:themeColor="accent1" w:themeShade="BF"/>
    </w:rPr>
  </w:style>
  <w:style w:type="character" w:styleId="IntenseReference">
    <w:name w:val="Intense Reference"/>
    <w:basedOn w:val="DefaultParagraphFont"/>
    <w:uiPriority w:val="32"/>
    <w:qFormat/>
    <w:rsid w:val="000F0468"/>
    <w:rPr>
      <w:b/>
      <w:bCs/>
      <w:smallCaps/>
      <w:color w:val="0F4761" w:themeColor="accent1" w:themeShade="BF"/>
      <w:spacing w:val="5"/>
    </w:rPr>
  </w:style>
  <w:style w:type="paragraph" w:styleId="NormalWeb">
    <w:name w:val="Normal (Web)"/>
    <w:basedOn w:val="Normal"/>
    <w:uiPriority w:val="99"/>
    <w:semiHidden/>
    <w:unhideWhenUsed/>
    <w:rsid w:val="00A2128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47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47B9A"/>
    <w:rPr>
      <w:rFonts w:ascii="Courier New" w:eastAsia="Times New Roman" w:hAnsi="Courier New" w:cs="Courier New"/>
      <w:kern w:val="0"/>
      <w:sz w:val="20"/>
      <w:szCs w:val="20"/>
      <w14:ligatures w14:val="none"/>
    </w:rPr>
  </w:style>
  <w:style w:type="character" w:customStyle="1" w:styleId="y2iqfc">
    <w:name w:val="y2iqfc"/>
    <w:basedOn w:val="DefaultParagraphFont"/>
    <w:rsid w:val="00747B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93137">
      <w:bodyDiv w:val="1"/>
      <w:marLeft w:val="0"/>
      <w:marRight w:val="0"/>
      <w:marTop w:val="0"/>
      <w:marBottom w:val="0"/>
      <w:divBdr>
        <w:top w:val="none" w:sz="0" w:space="0" w:color="auto"/>
        <w:left w:val="none" w:sz="0" w:space="0" w:color="auto"/>
        <w:bottom w:val="none" w:sz="0" w:space="0" w:color="auto"/>
        <w:right w:val="none" w:sz="0" w:space="0" w:color="auto"/>
      </w:divBdr>
    </w:div>
    <w:div w:id="10889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9</cp:revision>
  <dcterms:created xsi:type="dcterms:W3CDTF">2026-04-01T08:44:00Z</dcterms:created>
  <dcterms:modified xsi:type="dcterms:W3CDTF">2026-04-01T14:07:00Z</dcterms:modified>
</cp:coreProperties>
</file>