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4687" w14:textId="77777777" w:rsidR="001F5A8D" w:rsidRPr="006F4E96" w:rsidRDefault="001F5A8D" w:rsidP="001F5A8D">
      <w:pPr>
        <w:pStyle w:val="Heading1"/>
      </w:pPr>
      <w:bookmarkStart w:id="0" w:name="_Toc1304500306"/>
      <w:r>
        <w:t>Sharing Agreement (request- perspective)</w:t>
      </w:r>
      <w:bookmarkEnd w:id="0"/>
    </w:p>
    <w:p w14:paraId="2D3F9850" w14:textId="77777777" w:rsidR="001F5A8D" w:rsidRPr="006F4E96" w:rsidRDefault="001F5A8D" w:rsidP="001F5A8D">
      <w:pPr>
        <w:pStyle w:val="Heading2"/>
      </w:pPr>
      <w:bookmarkStart w:id="1" w:name="_Toc1143777710"/>
      <w:r>
        <w:t>What is it.</w:t>
      </w:r>
      <w:bookmarkEnd w:id="1"/>
    </w:p>
    <w:p w14:paraId="7BC304C8" w14:textId="77777777" w:rsidR="001F5A8D" w:rsidRPr="006F4E96" w:rsidRDefault="001F5A8D" w:rsidP="001F5A8D">
      <w:r w:rsidRPr="006F4E96">
        <w:t>The customer journey is developed from the standpoint of the data consumer. The data consumer goes through a discovery phase, either interactively (via a search and discovery front-end) or by automation on the connector. Discovery includes exploratory data analysis that is implemented with test data products or mock data.</w:t>
      </w:r>
    </w:p>
    <w:p w14:paraId="039B770E" w14:textId="77777777" w:rsidR="001F5A8D" w:rsidRPr="006F4E96" w:rsidRDefault="001F5A8D" w:rsidP="001F5A8D">
      <w:r w:rsidRPr="006F4E96">
        <w:t>There might be a case where the consumer is required to give proof of trust or compliance, the attestation phase is such a process where the data producer or a trusted entity grant the attestation to the consumer.</w:t>
      </w:r>
    </w:p>
    <w:p w14:paraId="7E32F414" w14:textId="77777777" w:rsidR="001F5A8D" w:rsidRPr="006F4E96" w:rsidRDefault="001F5A8D" w:rsidP="001F5A8D">
      <w:r w:rsidRPr="006F4E96">
        <w:t>The data consumer enters in negotiation with the data product provider, the resulting data sharing agreement is either refused or put in force. In the latter case, the sharing agreement is registered, for governance purposes, in an observability registry.</w:t>
      </w:r>
    </w:p>
    <w:p w14:paraId="03CA929D" w14:textId="77777777" w:rsidR="001F5A8D" w:rsidRPr="006F4E96" w:rsidRDefault="001F5A8D" w:rsidP="001F5A8D">
      <w:r w:rsidRPr="006F4E96">
        <w:t>Data sharing agreements undergo a business lifecycle of updates, renewal, revocation, and rating updates in case a value-transfer offering is involved.</w:t>
      </w:r>
    </w:p>
    <w:p w14:paraId="0D67415E" w14:textId="77777777" w:rsidR="001F5A8D" w:rsidRPr="006F4E96" w:rsidRDefault="001F5A8D" w:rsidP="001F5A8D">
      <w:pPr>
        <w:pStyle w:val="Heading2"/>
      </w:pPr>
      <w:bookmarkStart w:id="2" w:name="_Toc307565645"/>
      <w:r>
        <w:t>Detailed overview</w:t>
      </w:r>
      <w:bookmarkEnd w:id="2"/>
    </w:p>
    <w:p w14:paraId="4D436CB1" w14:textId="77777777" w:rsidR="001F5A8D" w:rsidRPr="006F4E96" w:rsidRDefault="001F5A8D" w:rsidP="001F5A8D">
      <w:pPr>
        <w:pStyle w:val="Heading3"/>
      </w:pPr>
      <w:bookmarkStart w:id="3" w:name="_Toc922983136"/>
      <w:r>
        <w:t>Graphical representation</w:t>
      </w:r>
      <w:bookmarkEnd w:id="3"/>
    </w:p>
    <w:p w14:paraId="21B09D27" w14:textId="1CDD3EBE" w:rsidR="001F5A8D" w:rsidRPr="006F4E96" w:rsidRDefault="01E5C1EE" w:rsidP="79913F79">
      <w:pPr>
        <w:spacing w:line="259" w:lineRule="auto"/>
        <w:jc w:val="center"/>
      </w:pPr>
      <w:r>
        <w:rPr>
          <w:noProof/>
        </w:rPr>
        <w:drawing>
          <wp:inline distT="0" distB="0" distL="0" distR="0" wp14:anchorId="43B05FD0" wp14:editId="69E54392">
            <wp:extent cx="5724524" cy="3352800"/>
            <wp:effectExtent l="0" t="0" r="0" b="0"/>
            <wp:docPr id="692195914" name="Picture 69219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3352800"/>
                    </a:xfrm>
                    <a:prstGeom prst="rect">
                      <a:avLst/>
                    </a:prstGeom>
                  </pic:spPr>
                </pic:pic>
              </a:graphicData>
            </a:graphic>
          </wp:inline>
        </w:drawing>
      </w:r>
      <w:r w:rsidR="001F5A8D">
        <w:t xml:space="preserve"> </w:t>
      </w:r>
    </w:p>
    <w:p w14:paraId="2D3AA28E" w14:textId="77777777" w:rsidR="001F5A8D" w:rsidRDefault="001F5A8D" w:rsidP="001F5A8D"/>
    <w:p w14:paraId="3D7ADA62" w14:textId="77777777" w:rsidR="001F5A8D" w:rsidRPr="006F4E96" w:rsidRDefault="001F5A8D" w:rsidP="001F5A8D">
      <w:pPr>
        <w:pStyle w:val="Heading3"/>
      </w:pPr>
      <w:bookmarkStart w:id="4" w:name="_Toc1221635456"/>
      <w:r>
        <w:t>Actors</w:t>
      </w:r>
      <w:bookmarkEnd w:id="4"/>
    </w:p>
    <w:tbl>
      <w:tblPr>
        <w:tblStyle w:val="PlainTable5"/>
        <w:tblW w:w="0" w:type="auto"/>
        <w:tblLook w:val="04A0" w:firstRow="1" w:lastRow="0" w:firstColumn="1" w:lastColumn="0" w:noHBand="0" w:noVBand="1"/>
      </w:tblPr>
      <w:tblGrid>
        <w:gridCol w:w="2122"/>
        <w:gridCol w:w="4394"/>
        <w:gridCol w:w="2500"/>
      </w:tblGrid>
      <w:tr w:rsidR="001F5A8D" w:rsidRPr="006F4E96" w14:paraId="3DF16BF6" w14:textId="77777777" w:rsidTr="004B1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2D18AF4E" w14:textId="77777777" w:rsidR="001F5A8D" w:rsidRPr="006F4E96" w:rsidRDefault="001F5A8D" w:rsidP="004B1AC5">
            <w:r w:rsidRPr="006F4E96">
              <w:t>Actor</w:t>
            </w:r>
          </w:p>
        </w:tc>
        <w:tc>
          <w:tcPr>
            <w:tcW w:w="4394" w:type="dxa"/>
          </w:tcPr>
          <w:p w14:paraId="270A04AD" w14:textId="77777777" w:rsidR="001F5A8D" w:rsidRPr="006F4E96" w:rsidRDefault="001F5A8D" w:rsidP="004B1AC5">
            <w:pPr>
              <w:cnfStyle w:val="100000000000" w:firstRow="1" w:lastRow="0" w:firstColumn="0" w:lastColumn="0" w:oddVBand="0" w:evenVBand="0" w:oddHBand="0" w:evenHBand="0" w:firstRowFirstColumn="0" w:firstRowLastColumn="0" w:lastRowFirstColumn="0" w:lastRowLastColumn="0"/>
            </w:pPr>
            <w:r w:rsidRPr="006F4E96">
              <w:t>Description</w:t>
            </w:r>
          </w:p>
        </w:tc>
        <w:tc>
          <w:tcPr>
            <w:tcW w:w="2500" w:type="dxa"/>
          </w:tcPr>
          <w:p w14:paraId="4662234F" w14:textId="77777777" w:rsidR="001F5A8D" w:rsidRPr="006F4E96" w:rsidRDefault="001F5A8D" w:rsidP="004B1AC5">
            <w:pPr>
              <w:cnfStyle w:val="100000000000" w:firstRow="1" w:lastRow="0" w:firstColumn="0" w:lastColumn="0" w:oddVBand="0" w:evenVBand="0" w:oddHBand="0" w:evenHBand="0" w:firstRowFirstColumn="0" w:firstRowLastColumn="0" w:lastRowFirstColumn="0" w:lastRowLastColumn="0"/>
            </w:pPr>
            <w:r w:rsidRPr="006F4E96">
              <w:t>Notes</w:t>
            </w:r>
          </w:p>
        </w:tc>
      </w:tr>
      <w:tr w:rsidR="001F5A8D" w:rsidRPr="006F4E96" w14:paraId="0063FF23" w14:textId="77777777" w:rsidTr="004B1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C7832C" w14:textId="77777777" w:rsidR="001F5A8D" w:rsidRPr="006F4E96" w:rsidRDefault="001F5A8D" w:rsidP="004B1AC5">
            <w:r w:rsidRPr="006F4E96">
              <w:t>Data consumer</w:t>
            </w:r>
          </w:p>
        </w:tc>
        <w:tc>
          <w:tcPr>
            <w:tcW w:w="4394" w:type="dxa"/>
          </w:tcPr>
          <w:p w14:paraId="0E0021C7" w14:textId="77777777" w:rsidR="001F5A8D" w:rsidRPr="006F4E96" w:rsidRDefault="001F5A8D" w:rsidP="004B1AC5">
            <w:pPr>
              <w:cnfStyle w:val="000000100000" w:firstRow="0" w:lastRow="0" w:firstColumn="0" w:lastColumn="0" w:oddVBand="0" w:evenVBand="0" w:oddHBand="1" w:evenHBand="0" w:firstRowFirstColumn="0" w:firstRowLastColumn="0" w:lastRowFirstColumn="0" w:lastRowLastColumn="0"/>
            </w:pPr>
            <w:r w:rsidRPr="006F4E96">
              <w:t>A participant engaged in data sharing in the International Data Spaces requesting and using data provided by a Data Provider.</w:t>
            </w:r>
          </w:p>
        </w:tc>
        <w:tc>
          <w:tcPr>
            <w:tcW w:w="2500" w:type="dxa"/>
            <w:vMerge w:val="restart"/>
          </w:tcPr>
          <w:p w14:paraId="361C8D42" w14:textId="77777777" w:rsidR="001F5A8D" w:rsidRPr="006F4E96" w:rsidRDefault="001F5A8D" w:rsidP="004B1AC5">
            <w:pPr>
              <w:cnfStyle w:val="000000100000" w:firstRow="0" w:lastRow="0" w:firstColumn="0" w:lastColumn="0" w:oddVBand="0" w:evenVBand="0" w:oddHBand="1" w:evenHBand="0" w:firstRowFirstColumn="0" w:firstRowLastColumn="0" w:lastRowFirstColumn="0" w:lastRowLastColumn="0"/>
            </w:pPr>
            <w:r w:rsidRPr="006F4E96">
              <w:t xml:space="preserve">Participants can assume different roles (e.g., consumer, </w:t>
            </w:r>
            <w:r w:rsidRPr="006F4E96">
              <w:lastRenderedPageBreak/>
              <w:t>producer, intermediary, etc.)</w:t>
            </w:r>
          </w:p>
        </w:tc>
      </w:tr>
      <w:tr w:rsidR="001F5A8D" w:rsidRPr="006F4E96" w14:paraId="66C37781" w14:textId="77777777" w:rsidTr="004B1AC5">
        <w:tc>
          <w:tcPr>
            <w:cnfStyle w:val="001000000000" w:firstRow="0" w:lastRow="0" w:firstColumn="1" w:lastColumn="0" w:oddVBand="0" w:evenVBand="0" w:oddHBand="0" w:evenHBand="0" w:firstRowFirstColumn="0" w:firstRowLastColumn="0" w:lastRowFirstColumn="0" w:lastRowLastColumn="0"/>
            <w:tcW w:w="2122" w:type="dxa"/>
          </w:tcPr>
          <w:p w14:paraId="173F933F" w14:textId="77777777" w:rsidR="001F5A8D" w:rsidRPr="006F4E96" w:rsidRDefault="001F5A8D" w:rsidP="004B1AC5">
            <w:r w:rsidRPr="006F4E96">
              <w:lastRenderedPageBreak/>
              <w:t>Data provider</w:t>
            </w:r>
          </w:p>
        </w:tc>
        <w:tc>
          <w:tcPr>
            <w:tcW w:w="4394" w:type="dxa"/>
          </w:tcPr>
          <w:p w14:paraId="7D008DD5" w14:textId="77777777" w:rsidR="001F5A8D" w:rsidRPr="006F4E96" w:rsidRDefault="001F5A8D" w:rsidP="004B1AC5">
            <w:pPr>
              <w:cnfStyle w:val="000000000000" w:firstRow="0" w:lastRow="0" w:firstColumn="0" w:lastColumn="0" w:oddVBand="0" w:evenVBand="0" w:oddHBand="0" w:evenHBand="0" w:firstRowFirstColumn="0" w:firstRowLastColumn="0" w:lastRowFirstColumn="0" w:lastRowLastColumn="0"/>
            </w:pPr>
            <w:r w:rsidRPr="006F4E96">
              <w:t>Participant exposing Data Sources via a Connector; a Data Provider may be an enterprise or other organisation, a data marketplace, an individual, or a “smart thing”.</w:t>
            </w:r>
          </w:p>
        </w:tc>
        <w:tc>
          <w:tcPr>
            <w:tcW w:w="2500" w:type="dxa"/>
            <w:vMerge/>
          </w:tcPr>
          <w:p w14:paraId="194E2A8F" w14:textId="77777777" w:rsidR="001F5A8D" w:rsidRPr="006F4E96" w:rsidRDefault="001F5A8D" w:rsidP="004B1AC5">
            <w:pPr>
              <w:cnfStyle w:val="000000000000" w:firstRow="0" w:lastRow="0" w:firstColumn="0" w:lastColumn="0" w:oddVBand="0" w:evenVBand="0" w:oddHBand="0" w:evenHBand="0" w:firstRowFirstColumn="0" w:firstRowLastColumn="0" w:lastRowFirstColumn="0" w:lastRowLastColumn="0"/>
            </w:pPr>
          </w:p>
        </w:tc>
      </w:tr>
      <w:tr w:rsidR="001F5A8D" w:rsidRPr="006F4E96" w14:paraId="6F5DAC72" w14:textId="77777777" w:rsidTr="004B1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CC7B9B" w14:textId="77777777" w:rsidR="001F5A8D" w:rsidRPr="006F4E96" w:rsidRDefault="001F5A8D" w:rsidP="004B1AC5">
            <w:r w:rsidRPr="006F4E96">
              <w:t>Observer</w:t>
            </w:r>
          </w:p>
        </w:tc>
        <w:tc>
          <w:tcPr>
            <w:tcW w:w="4394" w:type="dxa"/>
          </w:tcPr>
          <w:p w14:paraId="06AEF128" w14:textId="77777777" w:rsidR="001F5A8D" w:rsidRPr="006F4E96" w:rsidRDefault="001F5A8D" w:rsidP="004B1AC5">
            <w:pPr>
              <w:cnfStyle w:val="000000100000" w:firstRow="0" w:lastRow="0" w:firstColumn="0" w:lastColumn="0" w:oddVBand="0" w:evenVBand="0" w:oddHBand="1" w:evenHBand="0" w:firstRowFirstColumn="0" w:firstRowLastColumn="0" w:lastRowFirstColumn="0" w:lastRowLastColumn="0"/>
            </w:pPr>
            <w:r w:rsidRPr="006F4E96">
              <w:t>A participant that implements a business observability function across the entire data space. There might be more than one observer in a data space.</w:t>
            </w:r>
          </w:p>
        </w:tc>
        <w:tc>
          <w:tcPr>
            <w:tcW w:w="2500" w:type="dxa"/>
          </w:tcPr>
          <w:p w14:paraId="00664B26" w14:textId="77777777" w:rsidR="001F5A8D" w:rsidRPr="006F4E96" w:rsidRDefault="001F5A8D" w:rsidP="004B1AC5">
            <w:pPr>
              <w:cnfStyle w:val="000000100000" w:firstRow="0" w:lastRow="0" w:firstColumn="0" w:lastColumn="0" w:oddVBand="0" w:evenVBand="0" w:oddHBand="1" w:evenHBand="0" w:firstRowFirstColumn="0" w:firstRowLastColumn="0" w:lastRowFirstColumn="0" w:lastRowLastColumn="0"/>
            </w:pPr>
            <w:r w:rsidRPr="006F4E96">
              <w:t>Business observability is the pillar for governance enforcement.</w:t>
            </w:r>
          </w:p>
        </w:tc>
      </w:tr>
      <w:tr w:rsidR="001F5A8D" w:rsidRPr="006F4E96" w14:paraId="37FD63CB" w14:textId="77777777" w:rsidTr="004B1AC5">
        <w:tc>
          <w:tcPr>
            <w:cnfStyle w:val="001000000000" w:firstRow="0" w:lastRow="0" w:firstColumn="1" w:lastColumn="0" w:oddVBand="0" w:evenVBand="0" w:oddHBand="0" w:evenHBand="0" w:firstRowFirstColumn="0" w:firstRowLastColumn="0" w:lastRowFirstColumn="0" w:lastRowLastColumn="0"/>
            <w:tcW w:w="2122" w:type="dxa"/>
          </w:tcPr>
          <w:p w14:paraId="77AD81BB" w14:textId="77777777" w:rsidR="001F5A8D" w:rsidRPr="006F4E96" w:rsidRDefault="001F5A8D" w:rsidP="004B1AC5">
            <w:r w:rsidRPr="006F4E96">
              <w:t>Domain authority</w:t>
            </w:r>
          </w:p>
        </w:tc>
        <w:tc>
          <w:tcPr>
            <w:tcW w:w="4394" w:type="dxa"/>
          </w:tcPr>
          <w:p w14:paraId="5656D5CC" w14:textId="77777777" w:rsidR="001F5A8D" w:rsidRPr="006F4E96" w:rsidRDefault="001F5A8D" w:rsidP="004B1AC5">
            <w:pPr>
              <w:cnfStyle w:val="000000000000" w:firstRow="0" w:lastRow="0" w:firstColumn="0" w:lastColumn="0" w:oddVBand="0" w:evenVBand="0" w:oddHBand="0" w:evenHBand="0" w:firstRowFirstColumn="0" w:firstRowLastColumn="0" w:lastRowFirstColumn="0" w:lastRowLastColumn="0"/>
            </w:pPr>
            <w:r w:rsidRPr="006F4E96">
              <w:t>A domain authority maintains a</w:t>
            </w:r>
          </w:p>
          <w:p w14:paraId="5C54DE7B" w14:textId="77777777" w:rsidR="001F5A8D" w:rsidRPr="006F4E96" w:rsidRDefault="001F5A8D" w:rsidP="004B1AC5">
            <w:pPr>
              <w:cnfStyle w:val="000000000000" w:firstRow="0" w:lastRow="0" w:firstColumn="0" w:lastColumn="0" w:oddVBand="0" w:evenVBand="0" w:oddHBand="0" w:evenHBand="0" w:firstRowFirstColumn="0" w:firstRowLastColumn="0" w:lastRowFirstColumn="0" w:lastRowLastColumn="0"/>
            </w:pPr>
            <w:r w:rsidRPr="006F4E96">
              <w:t>governance framework that is specific to an industry or part of it. To simplify the customer journeys, we assume that the domain authority is also able to certify an entity to be compliant with the domain governance.</w:t>
            </w:r>
          </w:p>
        </w:tc>
        <w:tc>
          <w:tcPr>
            <w:tcW w:w="2500" w:type="dxa"/>
          </w:tcPr>
          <w:p w14:paraId="3EE7F9B0" w14:textId="77777777" w:rsidR="001F5A8D" w:rsidRPr="006F4E96" w:rsidRDefault="001F5A8D" w:rsidP="004B1AC5">
            <w:pPr>
              <w:cnfStyle w:val="000000000000" w:firstRow="0" w:lastRow="0" w:firstColumn="0" w:lastColumn="0" w:oddVBand="0" w:evenVBand="0" w:oddHBand="0" w:evenHBand="0" w:firstRowFirstColumn="0" w:firstRowLastColumn="0" w:lastRowFirstColumn="0" w:lastRowLastColumn="0"/>
            </w:pPr>
            <w:proofErr w:type="gramStart"/>
            <w:r w:rsidRPr="006F4E96">
              <w:t>GAIA-X,</w:t>
            </w:r>
            <w:proofErr w:type="gramEnd"/>
            <w:r w:rsidRPr="006F4E96">
              <w:t xml:space="preserve"> is an example of domain authority supporting a framework to verify trust compliance.</w:t>
            </w:r>
          </w:p>
          <w:p w14:paraId="6462A914" w14:textId="77777777" w:rsidR="001F5A8D" w:rsidRPr="006F4E96" w:rsidRDefault="001F5A8D" w:rsidP="004B1AC5">
            <w:pPr>
              <w:cnfStyle w:val="000000000000" w:firstRow="0" w:lastRow="0" w:firstColumn="0" w:lastColumn="0" w:oddVBand="0" w:evenVBand="0" w:oddHBand="0" w:evenHBand="0" w:firstRowFirstColumn="0" w:firstRowLastColumn="0" w:lastRowFirstColumn="0" w:lastRowLastColumn="0"/>
            </w:pPr>
            <w:r w:rsidRPr="006F4E96">
              <w:t xml:space="preserve">ISO institutes </w:t>
            </w:r>
          </w:p>
        </w:tc>
      </w:tr>
    </w:tbl>
    <w:p w14:paraId="0EEA426F" w14:textId="77777777" w:rsidR="001F5A8D" w:rsidRPr="006F4E96" w:rsidRDefault="001F5A8D" w:rsidP="001F5A8D"/>
    <w:p w14:paraId="4C034E14" w14:textId="77777777" w:rsidR="001F5A8D" w:rsidRPr="009C4CC6" w:rsidRDefault="001F5A8D" w:rsidP="001F5A8D">
      <w:pPr>
        <w:pStyle w:val="Heading3"/>
        <w:rPr>
          <w:strike/>
        </w:rPr>
      </w:pPr>
      <w:bookmarkStart w:id="5" w:name="_Toc1315426300"/>
      <w:r w:rsidRPr="009C4CC6">
        <w:rPr>
          <w:strike/>
        </w:rPr>
        <w:t>Customer journey: Discovery</w:t>
      </w:r>
      <w:bookmarkEnd w:id="5"/>
    </w:p>
    <w:p w14:paraId="6F8479A7" w14:textId="77777777" w:rsidR="001F5A8D" w:rsidRPr="006F4E96" w:rsidRDefault="001F5A8D" w:rsidP="7E7CB8DC">
      <w:pPr>
        <w:rPr>
          <w:sz w:val="20"/>
          <w:szCs w:val="20"/>
        </w:rPr>
      </w:pPr>
    </w:p>
    <w:p w14:paraId="483BFC05" w14:textId="77777777" w:rsidR="001F5A8D" w:rsidRPr="00BD37C5" w:rsidRDefault="001F5A8D" w:rsidP="7E7CB8DC">
      <w:pPr>
        <w:pStyle w:val="Heading3"/>
      </w:pPr>
      <w:bookmarkStart w:id="6" w:name="_Toc1119260372"/>
      <w:r w:rsidRPr="00BD37C5">
        <w:t>Customer journey: Attestation</w:t>
      </w:r>
      <w:bookmarkEnd w:id="6"/>
    </w:p>
    <w:tbl>
      <w:tblPr>
        <w:tblStyle w:val="PlainTable5"/>
        <w:tblW w:w="9135"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4A0" w:firstRow="1" w:lastRow="0" w:firstColumn="1" w:lastColumn="0" w:noHBand="0" w:noVBand="1"/>
      </w:tblPr>
      <w:tblGrid>
        <w:gridCol w:w="1268"/>
        <w:gridCol w:w="2180"/>
        <w:gridCol w:w="3201"/>
        <w:gridCol w:w="2486"/>
      </w:tblGrid>
      <w:tr w:rsidR="001F5A8D" w:rsidRPr="006F4E96" w14:paraId="1F91A7C6" w14:textId="77777777" w:rsidTr="00BD37C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75" w:type="dxa"/>
            <w:tcBorders>
              <w:bottom w:val="single" w:sz="6" w:space="0" w:color="000000" w:themeColor="text1"/>
            </w:tcBorders>
          </w:tcPr>
          <w:p w14:paraId="40402B80" w14:textId="77777777" w:rsidR="001F5A8D" w:rsidRPr="006F4E96" w:rsidRDefault="001F5A8D" w:rsidP="7E7CB8DC">
            <w:pPr>
              <w:rPr>
                <w:sz w:val="20"/>
                <w:szCs w:val="20"/>
              </w:rPr>
            </w:pPr>
            <w:r w:rsidRPr="7E7CB8DC">
              <w:rPr>
                <w:sz w:val="20"/>
                <w:szCs w:val="20"/>
              </w:rPr>
              <w:t>Sub-customer journeys</w:t>
            </w:r>
          </w:p>
        </w:tc>
        <w:tc>
          <w:tcPr>
            <w:tcW w:w="2220" w:type="dxa"/>
            <w:tcBorders>
              <w:bottom w:val="single" w:sz="6" w:space="0" w:color="000000" w:themeColor="text1"/>
            </w:tcBorders>
          </w:tcPr>
          <w:p w14:paraId="78D1A59D" w14:textId="77777777" w:rsidR="001F5A8D" w:rsidRPr="006F4E96" w:rsidRDefault="001F5A8D" w:rsidP="7E7CB8DC">
            <w:pPr>
              <w:cnfStyle w:val="100000000000" w:firstRow="1" w:lastRow="0" w:firstColumn="0" w:lastColumn="0" w:oddVBand="0" w:evenVBand="0" w:oddHBand="0" w:evenHBand="0" w:firstRowFirstColumn="0" w:firstRowLastColumn="0" w:lastRowFirstColumn="0" w:lastRowLastColumn="0"/>
              <w:rPr>
                <w:sz w:val="20"/>
                <w:szCs w:val="20"/>
              </w:rPr>
            </w:pPr>
            <w:r w:rsidRPr="7E7CB8DC">
              <w:rPr>
                <w:sz w:val="20"/>
                <w:szCs w:val="20"/>
              </w:rPr>
              <w:t>Description</w:t>
            </w:r>
          </w:p>
        </w:tc>
        <w:tc>
          <w:tcPr>
            <w:tcW w:w="3270" w:type="dxa"/>
            <w:tcBorders>
              <w:bottom w:val="single" w:sz="6" w:space="0" w:color="000000" w:themeColor="text1"/>
            </w:tcBorders>
          </w:tcPr>
          <w:p w14:paraId="1DCB6941" w14:textId="77777777" w:rsidR="001F5A8D" w:rsidRPr="006F4E96" w:rsidRDefault="001F5A8D" w:rsidP="7E7CB8DC">
            <w:pPr>
              <w:cnfStyle w:val="100000000000" w:firstRow="1" w:lastRow="0" w:firstColumn="0" w:lastColumn="0" w:oddVBand="0" w:evenVBand="0" w:oddHBand="0" w:evenHBand="0" w:firstRowFirstColumn="0" w:firstRowLastColumn="0" w:lastRowFirstColumn="0" w:lastRowLastColumn="0"/>
              <w:rPr>
                <w:sz w:val="20"/>
                <w:szCs w:val="20"/>
              </w:rPr>
            </w:pPr>
            <w:r w:rsidRPr="7E7CB8DC">
              <w:rPr>
                <w:sz w:val="20"/>
                <w:szCs w:val="20"/>
              </w:rPr>
              <w:t>Examples of ISO 25010 Qualities</w:t>
            </w:r>
          </w:p>
        </w:tc>
        <w:tc>
          <w:tcPr>
            <w:tcW w:w="2370" w:type="dxa"/>
            <w:tcBorders>
              <w:bottom w:val="single" w:sz="6" w:space="0" w:color="000000" w:themeColor="text1"/>
            </w:tcBorders>
          </w:tcPr>
          <w:p w14:paraId="15C5EA69" w14:textId="4EC60A10" w:rsidR="1DDE6823" w:rsidRDefault="1DDE6823" w:rsidP="7E7CB8DC">
            <w:pPr>
              <w:cnfStyle w:val="100000000000" w:firstRow="1" w:lastRow="0" w:firstColumn="0" w:lastColumn="0" w:oddVBand="0" w:evenVBand="0" w:oddHBand="0" w:evenHBand="0" w:firstRowFirstColumn="0" w:firstRowLastColumn="0" w:lastRowFirstColumn="0" w:lastRowLastColumn="0"/>
              <w:rPr>
                <w:sz w:val="20"/>
                <w:szCs w:val="20"/>
              </w:rPr>
            </w:pPr>
            <w:r w:rsidRPr="7E7CB8DC">
              <w:rPr>
                <w:sz w:val="20"/>
                <w:szCs w:val="20"/>
              </w:rPr>
              <w:t>Review/tests</w:t>
            </w:r>
          </w:p>
        </w:tc>
      </w:tr>
      <w:tr w:rsidR="00FA4456" w:rsidRPr="006F4E96" w14:paraId="0C39A390" w14:textId="77777777" w:rsidTr="00BD37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tcBorders>
              <w:top w:val="single" w:sz="6" w:space="0" w:color="000000" w:themeColor="text1"/>
              <w:right w:val="single" w:sz="6" w:space="0" w:color="000000" w:themeColor="text1"/>
            </w:tcBorders>
          </w:tcPr>
          <w:p w14:paraId="31DE2382" w14:textId="77777777" w:rsidR="00FA4456" w:rsidRPr="006F4E96" w:rsidRDefault="09C3523C" w:rsidP="7E7CB8DC">
            <w:pPr>
              <w:rPr>
                <w:sz w:val="20"/>
                <w:szCs w:val="20"/>
              </w:rPr>
            </w:pPr>
            <w:r w:rsidRPr="7E7CB8DC">
              <w:rPr>
                <w:sz w:val="20"/>
                <w:szCs w:val="20"/>
              </w:rPr>
              <w:t>Request service attestation</w:t>
            </w:r>
          </w:p>
        </w:tc>
        <w:tc>
          <w:tcPr>
            <w:tcW w:w="2220" w:type="dxa"/>
            <w:tcBorders>
              <w:top w:val="single" w:sz="6" w:space="0" w:color="000000" w:themeColor="text1"/>
              <w:left w:val="single" w:sz="6" w:space="0" w:color="000000" w:themeColor="text1"/>
            </w:tcBorders>
          </w:tcPr>
          <w:p w14:paraId="3204FE21" w14:textId="37388077" w:rsidR="00FA4456" w:rsidRPr="006F4E96" w:rsidRDefault="2B9296C1" w:rsidP="7E7CB8DC">
            <w:pPr>
              <w:cnfStyle w:val="000000100000" w:firstRow="0" w:lastRow="0" w:firstColumn="0" w:lastColumn="0" w:oddVBand="0" w:evenVBand="0" w:oddHBand="1" w:evenHBand="0" w:firstRowFirstColumn="0" w:firstRowLastColumn="0" w:lastRowFirstColumn="0" w:lastRowLastColumn="0"/>
              <w:rPr>
                <w:sz w:val="20"/>
                <w:szCs w:val="20"/>
              </w:rPr>
            </w:pPr>
            <w:r w:rsidRPr="7E7CB8DC">
              <w:rPr>
                <w:sz w:val="20"/>
                <w:szCs w:val="20"/>
              </w:rPr>
              <w:t>The pro</w:t>
            </w:r>
            <w:r w:rsidR="285A3253" w:rsidRPr="7E7CB8DC">
              <w:rPr>
                <w:sz w:val="20"/>
                <w:szCs w:val="20"/>
              </w:rPr>
              <w:t xml:space="preserve">vider </w:t>
            </w:r>
            <w:r w:rsidR="00E6618F">
              <w:rPr>
                <w:sz w:val="20"/>
                <w:szCs w:val="20"/>
              </w:rPr>
              <w:t xml:space="preserve">might request a consumer </w:t>
            </w:r>
            <w:r w:rsidRPr="7E7CB8DC">
              <w:rPr>
                <w:sz w:val="20"/>
                <w:szCs w:val="20"/>
              </w:rPr>
              <w:t xml:space="preserve">to </w:t>
            </w:r>
            <w:r w:rsidR="00D94683">
              <w:rPr>
                <w:sz w:val="20"/>
                <w:szCs w:val="20"/>
              </w:rPr>
              <w:t>self-</w:t>
            </w:r>
            <w:r w:rsidR="00E6618F">
              <w:rPr>
                <w:sz w:val="20"/>
                <w:szCs w:val="20"/>
              </w:rPr>
              <w:t>pr</w:t>
            </w:r>
            <w:r w:rsidR="00D94683">
              <w:rPr>
                <w:sz w:val="20"/>
                <w:szCs w:val="20"/>
              </w:rPr>
              <w:t xml:space="preserve">oduce </w:t>
            </w:r>
            <w:r w:rsidRPr="7E7CB8DC">
              <w:rPr>
                <w:sz w:val="20"/>
                <w:szCs w:val="20"/>
              </w:rPr>
              <w:t xml:space="preserve">proof that it complies with the producer’s governance. </w:t>
            </w:r>
            <w:r w:rsidR="00BD37C5">
              <w:rPr>
                <w:sz w:val="20"/>
                <w:szCs w:val="20"/>
              </w:rPr>
              <w:t xml:space="preserve"> </w:t>
            </w:r>
            <w:r w:rsidR="00985556">
              <w:rPr>
                <w:sz w:val="20"/>
                <w:szCs w:val="20"/>
              </w:rPr>
              <w:t xml:space="preserve">The producer defines the behaviour it expects from the consumer, the producer </w:t>
            </w:r>
            <w:r w:rsidR="00E6618F">
              <w:rPr>
                <w:sz w:val="20"/>
                <w:szCs w:val="20"/>
              </w:rPr>
              <w:t>can</w:t>
            </w:r>
            <w:r w:rsidR="00985556">
              <w:rPr>
                <w:sz w:val="20"/>
                <w:szCs w:val="20"/>
              </w:rPr>
              <w:t xml:space="preserve"> measure such behaviour without intermediaries</w:t>
            </w:r>
            <w:r w:rsidR="00BD37C5">
              <w:rPr>
                <w:sz w:val="20"/>
                <w:szCs w:val="20"/>
              </w:rPr>
              <w:t>.</w:t>
            </w:r>
          </w:p>
        </w:tc>
        <w:tc>
          <w:tcPr>
            <w:tcW w:w="3270" w:type="dxa"/>
            <w:tcBorders>
              <w:top w:val="single" w:sz="6" w:space="0" w:color="000000" w:themeColor="text1"/>
            </w:tcBorders>
          </w:tcPr>
          <w:p w14:paraId="663EB18C" w14:textId="68632C0E" w:rsidR="00FA4456" w:rsidRPr="00D94683" w:rsidRDefault="00BD37C5" w:rsidP="00D94683">
            <w:pPr>
              <w:pStyle w:val="ListParagraph"/>
              <w:numPr>
                <w:ilvl w:val="0"/>
                <w:numId w:val="3"/>
              </w:numPr>
              <w:ind w:left="364"/>
              <w:cnfStyle w:val="000000100000" w:firstRow="0" w:lastRow="0" w:firstColumn="0" w:lastColumn="0" w:oddVBand="0" w:evenVBand="0" w:oddHBand="1" w:evenHBand="0" w:firstRowFirstColumn="0" w:firstRowLastColumn="0" w:lastRowFirstColumn="0" w:lastRowLastColumn="0"/>
              <w:rPr>
                <w:rFonts w:eastAsiaTheme="minorEastAsia"/>
                <w:sz w:val="20"/>
                <w:szCs w:val="20"/>
                <w:lang w:val="en-US"/>
              </w:rPr>
            </w:pPr>
            <w:r w:rsidRPr="00D94683">
              <w:rPr>
                <w:sz w:val="20"/>
                <w:szCs w:val="20"/>
                <w:lang w:val="en-US"/>
              </w:rPr>
              <w:t>Functional appropriateness</w:t>
            </w:r>
            <w:r w:rsidR="2DBD5A57" w:rsidRPr="00D94683">
              <w:rPr>
                <w:sz w:val="20"/>
                <w:szCs w:val="20"/>
                <w:lang w:val="en-US"/>
              </w:rPr>
              <w:t>:</w:t>
            </w:r>
            <w:r w:rsidR="2DBD5A57" w:rsidRPr="00D94683">
              <w:rPr>
                <w:rFonts w:eastAsiaTheme="minorEastAsia"/>
                <w:sz w:val="20"/>
                <w:szCs w:val="20"/>
                <w:lang w:val="en-US"/>
              </w:rPr>
              <w:t xml:space="preserve"> </w:t>
            </w:r>
            <w:proofErr w:type="gramStart"/>
            <w:r w:rsidRPr="00D94683">
              <w:rPr>
                <w:rFonts w:eastAsiaTheme="minorEastAsia"/>
                <w:sz w:val="20"/>
                <w:szCs w:val="20"/>
                <w:lang w:val="en-US"/>
              </w:rPr>
              <w:t xml:space="preserve">The </w:t>
            </w:r>
            <w:r w:rsidR="2DBD5A57" w:rsidRPr="00D94683">
              <w:rPr>
                <w:rFonts w:eastAsiaTheme="minorEastAsia"/>
                <w:sz w:val="20"/>
                <w:szCs w:val="20"/>
                <w:lang w:val="en-US"/>
              </w:rPr>
              <w:t xml:space="preserve"> </w:t>
            </w:r>
            <w:r w:rsidRPr="00D94683">
              <w:rPr>
                <w:rFonts w:eastAsiaTheme="minorEastAsia"/>
                <w:sz w:val="20"/>
                <w:szCs w:val="20"/>
                <w:lang w:val="en-US"/>
              </w:rPr>
              <w:t>system</w:t>
            </w:r>
            <w:proofErr w:type="gramEnd"/>
            <w:r w:rsidRPr="00D94683">
              <w:rPr>
                <w:rFonts w:eastAsiaTheme="minorEastAsia"/>
                <w:sz w:val="20"/>
                <w:szCs w:val="20"/>
                <w:lang w:val="en-US"/>
              </w:rPr>
              <w:t xml:space="preserve"> provides </w:t>
            </w:r>
            <w:r w:rsidR="00985556" w:rsidRPr="00D94683">
              <w:rPr>
                <w:rFonts w:eastAsiaTheme="minorEastAsia"/>
                <w:sz w:val="20"/>
                <w:szCs w:val="20"/>
                <w:lang w:val="en-US"/>
              </w:rPr>
              <w:t xml:space="preserve">building blocks to </w:t>
            </w:r>
            <w:r w:rsidR="00D94683">
              <w:rPr>
                <w:rFonts w:eastAsiaTheme="minorEastAsia"/>
                <w:sz w:val="20"/>
                <w:szCs w:val="20"/>
                <w:lang w:val="en-US"/>
              </w:rPr>
              <w:t>create</w:t>
            </w:r>
            <w:r w:rsidR="00985556" w:rsidRPr="00D94683">
              <w:rPr>
                <w:rFonts w:eastAsiaTheme="minorEastAsia"/>
                <w:sz w:val="20"/>
                <w:szCs w:val="20"/>
                <w:lang w:val="en-US"/>
              </w:rPr>
              <w:t xml:space="preserve"> an attestation</w:t>
            </w:r>
            <w:r w:rsidR="00E6618F" w:rsidRPr="00D94683">
              <w:rPr>
                <w:rFonts w:eastAsiaTheme="minorEastAsia"/>
                <w:sz w:val="20"/>
                <w:szCs w:val="20"/>
                <w:lang w:val="en-US"/>
              </w:rPr>
              <w:t>, notably: a language to express the attestation, a way to present an attestation, mechanisms to define the measurement of the attestation.</w:t>
            </w:r>
          </w:p>
          <w:p w14:paraId="4EB06A4F" w14:textId="77777777" w:rsidR="00E6618F" w:rsidRPr="00D94683" w:rsidRDefault="00E6618F" w:rsidP="00D94683">
            <w:pPr>
              <w:pStyle w:val="ListParagraph"/>
              <w:numPr>
                <w:ilvl w:val="0"/>
                <w:numId w:val="3"/>
              </w:numPr>
              <w:ind w:left="364"/>
              <w:cnfStyle w:val="000000100000" w:firstRow="0" w:lastRow="0" w:firstColumn="0" w:lastColumn="0" w:oddVBand="0" w:evenVBand="0" w:oddHBand="1" w:evenHBand="0" w:firstRowFirstColumn="0" w:firstRowLastColumn="0" w:lastRowFirstColumn="0" w:lastRowLastColumn="0"/>
              <w:rPr>
                <w:sz w:val="20"/>
                <w:szCs w:val="20"/>
                <w:lang w:val="en-US"/>
              </w:rPr>
            </w:pPr>
            <w:r w:rsidRPr="00D94683">
              <w:rPr>
                <w:sz w:val="20"/>
                <w:szCs w:val="20"/>
                <w:lang w:val="en-US"/>
              </w:rPr>
              <w:t>The system allows a data producer to define the attestation. For instance: “The consumer’s connector runs on a trusted execution environment”.</w:t>
            </w:r>
          </w:p>
          <w:p w14:paraId="2EABD01F" w14:textId="7E315EAA" w:rsidR="00E6618F" w:rsidRPr="00D94683" w:rsidRDefault="00E6618F" w:rsidP="00D94683">
            <w:pPr>
              <w:pStyle w:val="ListParagraph"/>
              <w:numPr>
                <w:ilvl w:val="0"/>
                <w:numId w:val="3"/>
              </w:numPr>
              <w:ind w:left="364"/>
              <w:cnfStyle w:val="000000100000" w:firstRow="0" w:lastRow="0" w:firstColumn="0" w:lastColumn="0" w:oddVBand="0" w:evenVBand="0" w:oddHBand="1" w:evenHBand="0" w:firstRowFirstColumn="0" w:firstRowLastColumn="0" w:lastRowFirstColumn="0" w:lastRowLastColumn="0"/>
              <w:rPr>
                <w:sz w:val="20"/>
                <w:szCs w:val="20"/>
                <w:lang w:val="en-US"/>
              </w:rPr>
            </w:pPr>
            <w:r w:rsidRPr="00D94683">
              <w:rPr>
                <w:sz w:val="20"/>
                <w:szCs w:val="20"/>
                <w:lang w:val="en-US"/>
              </w:rPr>
              <w:t xml:space="preserve">The system allows the consumer to </w:t>
            </w:r>
            <w:r w:rsidR="00D02165">
              <w:rPr>
                <w:sz w:val="20"/>
                <w:szCs w:val="20"/>
                <w:lang w:val="en-US"/>
              </w:rPr>
              <w:t>deploy</w:t>
            </w:r>
            <w:r w:rsidRPr="00D94683">
              <w:rPr>
                <w:sz w:val="20"/>
                <w:szCs w:val="20"/>
                <w:lang w:val="en-US"/>
              </w:rPr>
              <w:t xml:space="preserve"> a status</w:t>
            </w:r>
            <w:r w:rsidR="00D02165">
              <w:rPr>
                <w:sz w:val="20"/>
                <w:szCs w:val="20"/>
                <w:lang w:val="en-US"/>
              </w:rPr>
              <w:t xml:space="preserve"> function</w:t>
            </w:r>
            <w:r w:rsidRPr="00D94683">
              <w:rPr>
                <w:sz w:val="20"/>
                <w:szCs w:val="20"/>
                <w:lang w:val="en-US"/>
              </w:rPr>
              <w:t>, for instance: “A cryptographically signed hash that certifies that my connector runs on a trusted execution environment.!</w:t>
            </w:r>
          </w:p>
          <w:p w14:paraId="39F33F8A" w14:textId="741C1890" w:rsidR="00E6618F" w:rsidRPr="00D94683" w:rsidRDefault="00E6618F" w:rsidP="00D94683">
            <w:pPr>
              <w:pStyle w:val="ListParagraph"/>
              <w:numPr>
                <w:ilvl w:val="0"/>
                <w:numId w:val="3"/>
              </w:numPr>
              <w:ind w:left="364"/>
              <w:cnfStyle w:val="000000100000" w:firstRow="0" w:lastRow="0" w:firstColumn="0" w:lastColumn="0" w:oddVBand="0" w:evenVBand="0" w:oddHBand="1" w:evenHBand="0" w:firstRowFirstColumn="0" w:firstRowLastColumn="0" w:lastRowFirstColumn="0" w:lastRowLastColumn="0"/>
              <w:rPr>
                <w:sz w:val="20"/>
                <w:szCs w:val="20"/>
                <w:lang w:val="en-US"/>
              </w:rPr>
            </w:pPr>
            <w:r w:rsidRPr="00D94683">
              <w:rPr>
                <w:sz w:val="20"/>
                <w:szCs w:val="20"/>
                <w:lang w:val="en-US"/>
              </w:rPr>
              <w:t xml:space="preserve">The system allows the consumer </w:t>
            </w:r>
            <w:r w:rsidR="00D02165" w:rsidRPr="00D94683">
              <w:rPr>
                <w:sz w:val="20"/>
                <w:szCs w:val="20"/>
                <w:lang w:val="en-US"/>
              </w:rPr>
              <w:t>to present</w:t>
            </w:r>
            <w:r w:rsidRPr="00D94683">
              <w:rPr>
                <w:sz w:val="20"/>
                <w:szCs w:val="20"/>
                <w:lang w:val="en-US"/>
              </w:rPr>
              <w:t xml:space="preserve"> the measurable status, for instance: “Verifiable presentation on VCs”.</w:t>
            </w:r>
          </w:p>
          <w:p w14:paraId="049611E8" w14:textId="2FBD90AC" w:rsidR="00E6618F" w:rsidRPr="00D94683" w:rsidRDefault="00E6618F" w:rsidP="00D94683">
            <w:pPr>
              <w:pStyle w:val="ListParagraph"/>
              <w:numPr>
                <w:ilvl w:val="0"/>
                <w:numId w:val="3"/>
              </w:numPr>
              <w:ind w:left="364"/>
              <w:cnfStyle w:val="000000100000" w:firstRow="0" w:lastRow="0" w:firstColumn="0" w:lastColumn="0" w:oddVBand="0" w:evenVBand="0" w:oddHBand="1" w:evenHBand="0" w:firstRowFirstColumn="0" w:firstRowLastColumn="0" w:lastRowFirstColumn="0" w:lastRowLastColumn="0"/>
              <w:rPr>
                <w:sz w:val="20"/>
                <w:szCs w:val="20"/>
                <w:lang w:val="en-US"/>
              </w:rPr>
            </w:pPr>
            <w:r w:rsidRPr="00D94683">
              <w:rPr>
                <w:sz w:val="20"/>
                <w:szCs w:val="20"/>
                <w:lang w:val="en-US"/>
              </w:rPr>
              <w:lastRenderedPageBreak/>
              <w:t xml:space="preserve">The system allows the producer to validate </w:t>
            </w:r>
            <w:r w:rsidR="00D94683" w:rsidRPr="00D94683">
              <w:rPr>
                <w:sz w:val="20"/>
                <w:szCs w:val="20"/>
                <w:lang w:val="en-US"/>
              </w:rPr>
              <w:t xml:space="preserve">the </w:t>
            </w:r>
            <w:r w:rsidR="00C10A21" w:rsidRPr="00D94683">
              <w:rPr>
                <w:sz w:val="20"/>
                <w:szCs w:val="20"/>
                <w:lang w:val="en-US"/>
              </w:rPr>
              <w:t>above-mentioned</w:t>
            </w:r>
            <w:r w:rsidRPr="00D94683">
              <w:rPr>
                <w:sz w:val="20"/>
                <w:szCs w:val="20"/>
                <w:lang w:val="en-US"/>
              </w:rPr>
              <w:t xml:space="preserve"> verifiable presentatio</w:t>
            </w:r>
            <w:r w:rsidR="00D94683" w:rsidRPr="00D94683">
              <w:rPr>
                <w:sz w:val="20"/>
                <w:szCs w:val="20"/>
                <w:lang w:val="en-US"/>
              </w:rPr>
              <w:t>n.</w:t>
            </w:r>
            <w:r w:rsidRPr="00D94683">
              <w:rPr>
                <w:sz w:val="20"/>
                <w:szCs w:val="20"/>
                <w:lang w:val="en-US"/>
              </w:rPr>
              <w:t xml:space="preserve"> </w:t>
            </w:r>
          </w:p>
        </w:tc>
        <w:tc>
          <w:tcPr>
            <w:tcW w:w="2370" w:type="dxa"/>
            <w:tcBorders>
              <w:top w:val="single" w:sz="6" w:space="0" w:color="000000" w:themeColor="text1"/>
            </w:tcBorders>
          </w:tcPr>
          <w:p w14:paraId="37FF9A0D" w14:textId="77777777" w:rsidR="7E7CB8DC" w:rsidRPr="00AD725F" w:rsidRDefault="00494FA0" w:rsidP="00494FA0">
            <w:pPr>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AD725F">
              <w:rPr>
                <w:b/>
                <w:bCs/>
                <w:sz w:val="20"/>
                <w:szCs w:val="20"/>
                <w:lang w:val="en-US"/>
              </w:rPr>
              <w:lastRenderedPageBreak/>
              <w:t xml:space="preserve">1: Assessment and coverage tests: Create a mock scenario where a participant is attested as being based in EU. Measurement based on </w:t>
            </w:r>
            <w:proofErr w:type="spellStart"/>
            <w:r w:rsidRPr="00AD725F">
              <w:rPr>
                <w:b/>
                <w:bCs/>
                <w:sz w:val="20"/>
                <w:szCs w:val="20"/>
                <w:lang w:val="en-US"/>
              </w:rPr>
              <w:t>GeoIP</w:t>
            </w:r>
            <w:proofErr w:type="spellEnd"/>
            <w:r w:rsidRPr="00AD725F">
              <w:rPr>
                <w:b/>
                <w:bCs/>
                <w:sz w:val="20"/>
                <w:szCs w:val="20"/>
                <w:lang w:val="en-US"/>
              </w:rPr>
              <w:t xml:space="preserve"> library… </w:t>
            </w:r>
          </w:p>
          <w:p w14:paraId="228945F8" w14:textId="4FF27F52" w:rsidR="00494FA0" w:rsidRDefault="00D02165" w:rsidP="00494FA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2: Prove that </w:t>
            </w:r>
            <w:r w:rsidR="00AD725F">
              <w:rPr>
                <w:sz w:val="20"/>
                <w:szCs w:val="20"/>
                <w:lang w:val="en-US"/>
              </w:rPr>
              <w:t>the system has the capability to delegate a data producer to attest a participant</w:t>
            </w:r>
            <w:r>
              <w:rPr>
                <w:sz w:val="20"/>
                <w:szCs w:val="20"/>
                <w:lang w:val="en-US"/>
              </w:rPr>
              <w:t>.</w:t>
            </w:r>
          </w:p>
          <w:p w14:paraId="7A868264" w14:textId="77777777" w:rsidR="00D02165" w:rsidRDefault="00D02165" w:rsidP="00494FA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3: Emulate a TEE (</w:t>
            </w:r>
            <w:hyperlink r:id="rId9" w:history="1">
              <w:r w:rsidRPr="00A262FE">
                <w:rPr>
                  <w:rStyle w:val="Hyperlink"/>
                  <w:sz w:val="20"/>
                  <w:szCs w:val="20"/>
                  <w:lang w:val="en-US"/>
                </w:rPr>
                <w:t>https://github.com/Open-TEE</w:t>
              </w:r>
            </w:hyperlink>
            <w:r>
              <w:rPr>
                <w:sz w:val="20"/>
                <w:szCs w:val="20"/>
                <w:lang w:val="en-US"/>
              </w:rPr>
              <w:t xml:space="preserve"> ) and provide a TEE attribute as a service.</w:t>
            </w:r>
          </w:p>
          <w:p w14:paraId="1F6AE693" w14:textId="0E304AFF" w:rsidR="00D02165" w:rsidRPr="00494FA0" w:rsidRDefault="00D02165" w:rsidP="00494FA0">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4: The signed TEE certification is included in a Verifiable Presentation.  </w:t>
            </w:r>
          </w:p>
        </w:tc>
      </w:tr>
      <w:tr w:rsidR="00FA4456" w:rsidRPr="006F4E96" w14:paraId="0BE0692E" w14:textId="77777777" w:rsidTr="00BD37C5">
        <w:trPr>
          <w:trHeight w:val="300"/>
        </w:trPr>
        <w:tc>
          <w:tcPr>
            <w:cnfStyle w:val="001000000000" w:firstRow="0" w:lastRow="0" w:firstColumn="1" w:lastColumn="0" w:oddVBand="0" w:evenVBand="0" w:oddHBand="0" w:evenHBand="0" w:firstRowFirstColumn="0" w:firstRowLastColumn="0" w:lastRowFirstColumn="0" w:lastRowLastColumn="0"/>
            <w:tcW w:w="1275" w:type="dxa"/>
            <w:tcBorders>
              <w:right w:val="single" w:sz="6" w:space="0" w:color="000000" w:themeColor="text1"/>
            </w:tcBorders>
          </w:tcPr>
          <w:p w14:paraId="1A447A38" w14:textId="77777777" w:rsidR="00FA4456" w:rsidRPr="006F4E96" w:rsidRDefault="09C3523C" w:rsidP="7E7CB8DC">
            <w:pPr>
              <w:rPr>
                <w:sz w:val="20"/>
                <w:szCs w:val="20"/>
              </w:rPr>
            </w:pPr>
            <w:r w:rsidRPr="7E7CB8DC">
              <w:rPr>
                <w:sz w:val="20"/>
                <w:szCs w:val="20"/>
              </w:rPr>
              <w:t>Request domain attestation</w:t>
            </w:r>
          </w:p>
        </w:tc>
        <w:tc>
          <w:tcPr>
            <w:tcW w:w="2220" w:type="dxa"/>
            <w:tcBorders>
              <w:left w:val="single" w:sz="6" w:space="0" w:color="000000" w:themeColor="text1"/>
            </w:tcBorders>
          </w:tcPr>
          <w:p w14:paraId="501184F1" w14:textId="7FB215FA" w:rsidR="00FA4456" w:rsidRPr="006F4E96" w:rsidRDefault="09C3523C" w:rsidP="7E7CB8DC">
            <w:pPr>
              <w:cnfStyle w:val="000000000000" w:firstRow="0" w:lastRow="0" w:firstColumn="0" w:lastColumn="0" w:oddVBand="0" w:evenVBand="0" w:oddHBand="0" w:evenHBand="0" w:firstRowFirstColumn="0" w:firstRowLastColumn="0" w:lastRowFirstColumn="0" w:lastRowLastColumn="0"/>
              <w:rPr>
                <w:sz w:val="20"/>
                <w:szCs w:val="20"/>
              </w:rPr>
            </w:pPr>
            <w:r w:rsidRPr="7E7CB8DC">
              <w:rPr>
                <w:sz w:val="20"/>
                <w:szCs w:val="20"/>
              </w:rPr>
              <w:t xml:space="preserve">The </w:t>
            </w:r>
            <w:r w:rsidR="00D94683">
              <w:rPr>
                <w:sz w:val="20"/>
                <w:szCs w:val="20"/>
              </w:rPr>
              <w:t>producer</w:t>
            </w:r>
            <w:r w:rsidRPr="7E7CB8DC">
              <w:rPr>
                <w:sz w:val="20"/>
                <w:szCs w:val="20"/>
              </w:rPr>
              <w:t xml:space="preserve"> </w:t>
            </w:r>
            <w:r w:rsidR="00BD37C5">
              <w:rPr>
                <w:sz w:val="20"/>
                <w:szCs w:val="20"/>
              </w:rPr>
              <w:t xml:space="preserve">might </w:t>
            </w:r>
            <w:r w:rsidRPr="7E7CB8DC">
              <w:rPr>
                <w:sz w:val="20"/>
                <w:szCs w:val="20"/>
              </w:rPr>
              <w:t xml:space="preserve">demand </w:t>
            </w:r>
            <w:r w:rsidR="00D94683">
              <w:rPr>
                <w:sz w:val="20"/>
                <w:szCs w:val="20"/>
              </w:rPr>
              <w:t xml:space="preserve">that the consumer present proof of compliance from an industry </w:t>
            </w:r>
            <w:r w:rsidRPr="7E7CB8DC">
              <w:rPr>
                <w:sz w:val="20"/>
                <w:szCs w:val="20"/>
              </w:rPr>
              <w:t>authority</w:t>
            </w:r>
            <w:r w:rsidR="00D94683">
              <w:rPr>
                <w:sz w:val="20"/>
                <w:szCs w:val="20"/>
              </w:rPr>
              <w:t xml:space="preserve"> that defines a domain governance.</w:t>
            </w:r>
          </w:p>
        </w:tc>
        <w:tc>
          <w:tcPr>
            <w:tcW w:w="3270" w:type="dxa"/>
          </w:tcPr>
          <w:p w14:paraId="4B260025" w14:textId="77FF18E7" w:rsidR="00FA4456" w:rsidRPr="006F4E96" w:rsidRDefault="00D94683" w:rsidP="00BD37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As above, but the issuer is the domain authority, while the appraiser remains the producer.</w:t>
            </w:r>
          </w:p>
        </w:tc>
        <w:tc>
          <w:tcPr>
            <w:tcW w:w="2370" w:type="dxa"/>
          </w:tcPr>
          <w:p w14:paraId="079616F4" w14:textId="793D7E89" w:rsidR="7E7CB8DC" w:rsidRDefault="7E7CB8DC" w:rsidP="00BD37C5">
            <w:pPr>
              <w:pStyle w:val="ListParagraph"/>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14:paraId="3B2FC61B" w14:textId="77777777" w:rsidR="001F5A8D" w:rsidRPr="006F4E96" w:rsidRDefault="001F5A8D" w:rsidP="7E7CB8DC">
      <w:pPr>
        <w:rPr>
          <w:sz w:val="20"/>
          <w:szCs w:val="20"/>
        </w:rPr>
      </w:pPr>
    </w:p>
    <w:p w14:paraId="3D50614C" w14:textId="56094EE8" w:rsidR="001F5A8D" w:rsidRDefault="001F5A8D" w:rsidP="264C699D">
      <w:pPr>
        <w:pStyle w:val="Heading3"/>
      </w:pPr>
      <w:bookmarkStart w:id="7" w:name="_Toc1261946986"/>
      <w:r w:rsidRPr="00BD37C5">
        <w:t>Customer journey: Negotiation</w:t>
      </w:r>
      <w:bookmarkEnd w:id="7"/>
    </w:p>
    <w:tbl>
      <w:tblPr>
        <w:tblStyle w:val="PlainTable5"/>
        <w:tblW w:w="9146"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4A0" w:firstRow="1" w:lastRow="0" w:firstColumn="1" w:lastColumn="0" w:noHBand="0" w:noVBand="1"/>
      </w:tblPr>
      <w:tblGrid>
        <w:gridCol w:w="1316"/>
        <w:gridCol w:w="2482"/>
        <w:gridCol w:w="2891"/>
        <w:gridCol w:w="2457"/>
      </w:tblGrid>
      <w:tr w:rsidR="003A05BB" w:rsidRPr="006F4E96" w14:paraId="25A67450" w14:textId="77777777" w:rsidTr="264C699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05" w:type="dxa"/>
            <w:tcBorders>
              <w:top w:val="none" w:sz="6" w:space="0" w:color="000000" w:themeColor="text1"/>
              <w:left w:val="none" w:sz="6" w:space="0" w:color="000000" w:themeColor="text1"/>
              <w:bottom w:val="single" w:sz="6" w:space="0" w:color="000000" w:themeColor="text1"/>
              <w:right w:val="none" w:sz="6" w:space="0" w:color="000000" w:themeColor="text1"/>
            </w:tcBorders>
          </w:tcPr>
          <w:p w14:paraId="6687C08C" w14:textId="77777777" w:rsidR="001F5A8D" w:rsidRPr="006F4E96" w:rsidRDefault="001F5A8D" w:rsidP="00BD37C5">
            <w:pPr>
              <w:spacing w:line="259" w:lineRule="auto"/>
              <w:rPr>
                <w:sz w:val="20"/>
                <w:szCs w:val="20"/>
              </w:rPr>
            </w:pPr>
            <w:r w:rsidRPr="7E7CB8DC">
              <w:rPr>
                <w:sz w:val="20"/>
                <w:szCs w:val="20"/>
              </w:rPr>
              <w:t>Sub-customer journeys</w:t>
            </w:r>
          </w:p>
        </w:tc>
        <w:tc>
          <w:tcPr>
            <w:tcW w:w="2487" w:type="dxa"/>
            <w:tcBorders>
              <w:top w:val="none" w:sz="6" w:space="0" w:color="000000" w:themeColor="text1"/>
              <w:left w:val="none" w:sz="6" w:space="0" w:color="000000" w:themeColor="text1"/>
              <w:bottom w:val="single" w:sz="6" w:space="0" w:color="000000" w:themeColor="text1"/>
              <w:right w:val="none" w:sz="6" w:space="0" w:color="000000" w:themeColor="text1"/>
            </w:tcBorders>
          </w:tcPr>
          <w:p w14:paraId="00F2B5AC" w14:textId="77777777" w:rsidR="001F5A8D" w:rsidRPr="006F4E96" w:rsidRDefault="001F5A8D" w:rsidP="00BD37C5">
            <w:pPr>
              <w:spacing w:line="259" w:lineRule="auto"/>
              <w:jc w:val="right"/>
              <w:cnfStyle w:val="100000000000" w:firstRow="1" w:lastRow="0" w:firstColumn="0" w:lastColumn="0" w:oddVBand="0" w:evenVBand="0" w:oddHBand="0" w:evenHBand="0" w:firstRowFirstColumn="0" w:firstRowLastColumn="0" w:lastRowFirstColumn="0" w:lastRowLastColumn="0"/>
              <w:rPr>
                <w:sz w:val="20"/>
                <w:szCs w:val="20"/>
              </w:rPr>
            </w:pPr>
            <w:r w:rsidRPr="7E7CB8DC">
              <w:rPr>
                <w:sz w:val="20"/>
                <w:szCs w:val="20"/>
              </w:rPr>
              <w:t>Description</w:t>
            </w:r>
          </w:p>
        </w:tc>
        <w:tc>
          <w:tcPr>
            <w:tcW w:w="2895" w:type="dxa"/>
            <w:tcBorders>
              <w:top w:val="none" w:sz="6" w:space="0" w:color="000000" w:themeColor="text1"/>
              <w:left w:val="none" w:sz="6" w:space="0" w:color="000000" w:themeColor="text1"/>
              <w:bottom w:val="single" w:sz="6" w:space="0" w:color="000000" w:themeColor="text1"/>
              <w:right w:val="none" w:sz="6" w:space="0" w:color="000000" w:themeColor="text1"/>
            </w:tcBorders>
          </w:tcPr>
          <w:p w14:paraId="7A302FCB" w14:textId="77777777" w:rsidR="001F5A8D" w:rsidRPr="006F4E96" w:rsidRDefault="001F5A8D" w:rsidP="00BD37C5">
            <w:pPr>
              <w:spacing w:line="259" w:lineRule="auto"/>
              <w:jc w:val="right"/>
              <w:cnfStyle w:val="100000000000" w:firstRow="1" w:lastRow="0" w:firstColumn="0" w:lastColumn="0" w:oddVBand="0" w:evenVBand="0" w:oddHBand="0" w:evenHBand="0" w:firstRowFirstColumn="0" w:firstRowLastColumn="0" w:lastRowFirstColumn="0" w:lastRowLastColumn="0"/>
              <w:rPr>
                <w:sz w:val="20"/>
                <w:szCs w:val="20"/>
              </w:rPr>
            </w:pPr>
            <w:r w:rsidRPr="7E7CB8DC">
              <w:rPr>
                <w:sz w:val="20"/>
                <w:szCs w:val="20"/>
              </w:rPr>
              <w:t>Examples of ISO 25010 Qualities</w:t>
            </w:r>
          </w:p>
        </w:tc>
        <w:tc>
          <w:tcPr>
            <w:tcW w:w="2459" w:type="dxa"/>
            <w:tcBorders>
              <w:top w:val="none" w:sz="6" w:space="0" w:color="000000" w:themeColor="text1"/>
              <w:left w:val="none" w:sz="6" w:space="0" w:color="000000" w:themeColor="text1"/>
              <w:bottom w:val="single" w:sz="6" w:space="0" w:color="000000" w:themeColor="text1"/>
              <w:right w:val="none" w:sz="6" w:space="0" w:color="000000" w:themeColor="text1"/>
            </w:tcBorders>
          </w:tcPr>
          <w:p w14:paraId="7D7B6786" w14:textId="58C3C4AF" w:rsidR="49C74E68" w:rsidRDefault="49C74E68" w:rsidP="00BD37C5">
            <w:pPr>
              <w:spacing w:line="259" w:lineRule="auto"/>
              <w:jc w:val="right"/>
              <w:cnfStyle w:val="100000000000" w:firstRow="1" w:lastRow="0" w:firstColumn="0" w:lastColumn="0" w:oddVBand="0" w:evenVBand="0" w:oddHBand="0" w:evenHBand="0" w:firstRowFirstColumn="0" w:firstRowLastColumn="0" w:lastRowFirstColumn="0" w:lastRowLastColumn="0"/>
              <w:rPr>
                <w:sz w:val="20"/>
                <w:szCs w:val="20"/>
              </w:rPr>
            </w:pPr>
            <w:r w:rsidRPr="7E7CB8DC">
              <w:rPr>
                <w:sz w:val="20"/>
                <w:szCs w:val="20"/>
              </w:rPr>
              <w:t>Review/tests</w:t>
            </w:r>
          </w:p>
        </w:tc>
      </w:tr>
      <w:tr w:rsidR="003A05BB" w:rsidRPr="006F4E96" w14:paraId="459A30B6" w14:textId="77777777" w:rsidTr="264C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dxa"/>
            <w:tcBorders>
              <w:top w:val="single" w:sz="6" w:space="0" w:color="000000" w:themeColor="text1"/>
              <w:right w:val="single" w:sz="6" w:space="0" w:color="000000" w:themeColor="text1"/>
            </w:tcBorders>
          </w:tcPr>
          <w:p w14:paraId="7DC8DFC6" w14:textId="77777777" w:rsidR="00746D23" w:rsidRPr="006F4E96" w:rsidRDefault="59B86590" w:rsidP="00BD37C5">
            <w:pPr>
              <w:spacing w:line="259" w:lineRule="auto"/>
              <w:rPr>
                <w:sz w:val="20"/>
                <w:szCs w:val="20"/>
              </w:rPr>
            </w:pPr>
            <w:r w:rsidRPr="7E7CB8DC">
              <w:rPr>
                <w:sz w:val="20"/>
                <w:szCs w:val="20"/>
              </w:rPr>
              <w:t>Negotiating sharing agreement</w:t>
            </w:r>
          </w:p>
        </w:tc>
        <w:tc>
          <w:tcPr>
            <w:tcW w:w="2487" w:type="dxa"/>
            <w:tcBorders>
              <w:top w:val="single" w:sz="6" w:space="0" w:color="000000" w:themeColor="text1"/>
              <w:left w:val="single" w:sz="6" w:space="0" w:color="000000" w:themeColor="text1"/>
            </w:tcBorders>
          </w:tcPr>
          <w:p w14:paraId="1E3DB068" w14:textId="638C3CC0" w:rsidR="00746D23" w:rsidRPr="006F4E96" w:rsidRDefault="59B86590" w:rsidP="00BD37C5">
            <w:pPr>
              <w:spacing w:line="259"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7E7CB8DC">
              <w:rPr>
                <w:sz w:val="20"/>
                <w:szCs w:val="20"/>
              </w:rPr>
              <w:t xml:space="preserve">The data producer and consumer engage in matching respective requirements for the use of the data product offering. </w:t>
            </w:r>
            <w:r w:rsidR="00433660">
              <w:rPr>
                <w:sz w:val="20"/>
                <w:szCs w:val="20"/>
              </w:rPr>
              <w:t xml:space="preserve">The producer might define data usage policies or demand </w:t>
            </w:r>
            <w:proofErr w:type="gramStart"/>
            <w:r w:rsidR="00433660">
              <w:rPr>
                <w:sz w:val="20"/>
                <w:szCs w:val="20"/>
              </w:rPr>
              <w:t>a</w:t>
            </w:r>
            <w:proofErr w:type="gramEnd"/>
            <w:r w:rsidR="00433660">
              <w:rPr>
                <w:sz w:val="20"/>
                <w:szCs w:val="20"/>
              </w:rPr>
              <w:t xml:space="preserve"> attestation. The negotiation can take different steps and channels, even</w:t>
            </w:r>
            <w:r w:rsidRPr="7E7CB8DC">
              <w:rPr>
                <w:sz w:val="20"/>
                <w:szCs w:val="20"/>
              </w:rPr>
              <w:t xml:space="preserve"> </w:t>
            </w:r>
            <w:r w:rsidR="00433660">
              <w:rPr>
                <w:sz w:val="20"/>
                <w:szCs w:val="20"/>
              </w:rPr>
              <w:t xml:space="preserve">engage parties through </w:t>
            </w:r>
            <w:r w:rsidRPr="7E7CB8DC">
              <w:rPr>
                <w:sz w:val="20"/>
                <w:szCs w:val="20"/>
              </w:rPr>
              <w:t>off-band channels (e.g., e-mail or phone calls).</w:t>
            </w:r>
          </w:p>
        </w:tc>
        <w:tc>
          <w:tcPr>
            <w:tcW w:w="2895" w:type="dxa"/>
            <w:tcBorders>
              <w:top w:val="single" w:sz="6" w:space="0" w:color="000000" w:themeColor="text1"/>
            </w:tcBorders>
          </w:tcPr>
          <w:p w14:paraId="41DEA29F" w14:textId="027DD60F" w:rsidR="00FF587A" w:rsidRPr="009D79C7" w:rsidRDefault="59B86590" w:rsidP="00D44A12">
            <w:pPr>
              <w:pStyle w:val="ListParagraph"/>
              <w:numPr>
                <w:ilvl w:val="0"/>
                <w:numId w:val="8"/>
              </w:numPr>
              <w:spacing w:line="259" w:lineRule="auto"/>
              <w:ind w:left="343"/>
              <w:cnfStyle w:val="000000100000" w:firstRow="0" w:lastRow="0" w:firstColumn="0" w:lastColumn="0" w:oddVBand="0" w:evenVBand="0" w:oddHBand="1" w:evenHBand="0" w:firstRowFirstColumn="0" w:firstRowLastColumn="0" w:lastRowFirstColumn="0" w:lastRowLastColumn="0"/>
              <w:rPr>
                <w:sz w:val="20"/>
                <w:szCs w:val="20"/>
                <w:lang w:val="en-US"/>
              </w:rPr>
            </w:pPr>
            <w:r w:rsidRPr="009D79C7">
              <w:rPr>
                <w:sz w:val="20"/>
                <w:szCs w:val="20"/>
                <w:lang w:val="en-US"/>
              </w:rPr>
              <w:t xml:space="preserve">Interoperability: </w:t>
            </w:r>
            <w:r w:rsidR="007901F1">
              <w:rPr>
                <w:sz w:val="20"/>
                <w:szCs w:val="20"/>
                <w:lang w:val="en-US"/>
              </w:rPr>
              <w:t>The system provides components that</w:t>
            </w:r>
            <w:r w:rsidR="00433660" w:rsidRPr="009D79C7">
              <w:rPr>
                <w:sz w:val="20"/>
                <w:szCs w:val="20"/>
                <w:lang w:val="en-US"/>
              </w:rPr>
              <w:t xml:space="preserve"> negotiate a data sharing agreement through a </w:t>
            </w:r>
            <w:r w:rsidR="00FF587A" w:rsidRPr="009D79C7">
              <w:rPr>
                <w:sz w:val="20"/>
                <w:szCs w:val="20"/>
                <w:lang w:val="en-US"/>
              </w:rPr>
              <w:t xml:space="preserve">common </w:t>
            </w:r>
            <w:r w:rsidR="00433660" w:rsidRPr="009D79C7">
              <w:rPr>
                <w:sz w:val="20"/>
                <w:szCs w:val="20"/>
                <w:lang w:val="en-US"/>
              </w:rPr>
              <w:t>protocol</w:t>
            </w:r>
            <w:r w:rsidR="00FF587A" w:rsidRPr="009D79C7">
              <w:rPr>
                <w:sz w:val="20"/>
                <w:szCs w:val="20"/>
                <w:lang w:val="en-US"/>
              </w:rPr>
              <w:t>.</w:t>
            </w:r>
          </w:p>
          <w:p w14:paraId="6ED8D92B" w14:textId="1A822A5A" w:rsidR="00746D23" w:rsidRDefault="007901F1" w:rsidP="00D44A12">
            <w:pPr>
              <w:pStyle w:val="ListParagraph"/>
              <w:numPr>
                <w:ilvl w:val="0"/>
                <w:numId w:val="8"/>
              </w:numPr>
              <w:spacing w:line="259" w:lineRule="auto"/>
              <w:ind w:left="343"/>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Interoperability: </w:t>
            </w:r>
            <w:r w:rsidR="00FF587A" w:rsidRPr="009D79C7">
              <w:rPr>
                <w:sz w:val="20"/>
                <w:szCs w:val="20"/>
                <w:lang w:val="en-US"/>
              </w:rPr>
              <w:t xml:space="preserve">The data sharing protocol </w:t>
            </w:r>
            <w:r w:rsidR="00433660" w:rsidRPr="009D79C7">
              <w:rPr>
                <w:sz w:val="20"/>
                <w:szCs w:val="20"/>
                <w:lang w:val="en-US"/>
              </w:rPr>
              <w:t xml:space="preserve">implements requests, responses, and states </w:t>
            </w:r>
            <w:r>
              <w:rPr>
                <w:sz w:val="20"/>
                <w:szCs w:val="20"/>
                <w:lang w:val="en-US"/>
              </w:rPr>
              <w:t>that produce an iterative data sharing negotiation which is semantically interpretable by an observer</w:t>
            </w:r>
            <w:r w:rsidR="00FF587A" w:rsidRPr="009D79C7">
              <w:rPr>
                <w:sz w:val="20"/>
                <w:szCs w:val="20"/>
                <w:lang w:val="en-US"/>
              </w:rPr>
              <w:t>.</w:t>
            </w:r>
          </w:p>
          <w:p w14:paraId="7F56BA3C" w14:textId="73F9BA7D" w:rsidR="007901F1" w:rsidRDefault="007901F1" w:rsidP="00D44A12">
            <w:pPr>
              <w:pStyle w:val="ListParagraph"/>
              <w:numPr>
                <w:ilvl w:val="0"/>
                <w:numId w:val="8"/>
              </w:numPr>
              <w:spacing w:line="259" w:lineRule="auto"/>
              <w:ind w:left="343"/>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Functional completeness: The protocol implements negotiation based on claims, usage policies, and business service descriptors.</w:t>
            </w:r>
          </w:p>
          <w:p w14:paraId="4AB31C0B" w14:textId="121E7F94" w:rsidR="00D44A12" w:rsidRDefault="00D44A12" w:rsidP="00D44A12">
            <w:pPr>
              <w:pStyle w:val="ListParagraph"/>
              <w:numPr>
                <w:ilvl w:val="0"/>
                <w:numId w:val="8"/>
              </w:numPr>
              <w:spacing w:line="259" w:lineRule="auto"/>
              <w:ind w:left="343"/>
              <w:cnfStyle w:val="000000100000" w:firstRow="0" w:lastRow="0" w:firstColumn="0" w:lastColumn="0" w:oddVBand="0" w:evenVBand="0" w:oddHBand="1" w:evenHBand="0" w:firstRowFirstColumn="0" w:firstRowLastColumn="0" w:lastRowFirstColumn="0" w:lastRowLastColumn="0"/>
              <w:rPr>
                <w:sz w:val="20"/>
                <w:szCs w:val="20"/>
                <w:lang w:val="en-US"/>
              </w:rPr>
            </w:pPr>
            <w:r w:rsidRPr="009D79C7">
              <w:rPr>
                <w:sz w:val="20"/>
                <w:szCs w:val="20"/>
                <w:lang w:val="en-US"/>
              </w:rPr>
              <w:t>The sharing agreement protocol supports automated and manual negotiation.</w:t>
            </w:r>
          </w:p>
          <w:p w14:paraId="0E8201DE" w14:textId="536B8A72" w:rsidR="0056381E" w:rsidRPr="00D44A12" w:rsidRDefault="0056381E" w:rsidP="00D44A12">
            <w:pPr>
              <w:pStyle w:val="ListParagraph"/>
              <w:numPr>
                <w:ilvl w:val="0"/>
                <w:numId w:val="8"/>
              </w:numPr>
              <w:spacing w:line="259" w:lineRule="auto"/>
              <w:ind w:left="343"/>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sharing agreement protocol supports notifications if either party must be informed of the outcome of a transaction or if the system is awaiting a response (asynchronous negotiation).</w:t>
            </w:r>
          </w:p>
          <w:p w14:paraId="23FDB9E0" w14:textId="1ABF3BB0" w:rsidR="00FF587A" w:rsidRPr="009D79C7" w:rsidRDefault="43789BD0" w:rsidP="00D44A12">
            <w:pPr>
              <w:pStyle w:val="ListParagraph"/>
              <w:numPr>
                <w:ilvl w:val="0"/>
                <w:numId w:val="8"/>
              </w:numPr>
              <w:spacing w:line="259" w:lineRule="auto"/>
              <w:ind w:left="343"/>
              <w:cnfStyle w:val="000000100000" w:firstRow="0" w:lastRow="0" w:firstColumn="0" w:lastColumn="0" w:oddVBand="0" w:evenVBand="0" w:oddHBand="1" w:evenHBand="0" w:firstRowFirstColumn="0" w:firstRowLastColumn="0" w:lastRowFirstColumn="0" w:lastRowLastColumn="0"/>
              <w:rPr>
                <w:sz w:val="20"/>
                <w:szCs w:val="20"/>
                <w:lang w:val="en-US"/>
              </w:rPr>
            </w:pPr>
            <w:r w:rsidRPr="009D79C7">
              <w:rPr>
                <w:sz w:val="20"/>
                <w:szCs w:val="20"/>
                <w:lang w:val="en-US"/>
              </w:rPr>
              <w:t xml:space="preserve">Security confidentiality: </w:t>
            </w:r>
            <w:r w:rsidR="00FF587A" w:rsidRPr="009D79C7">
              <w:rPr>
                <w:sz w:val="20"/>
                <w:szCs w:val="20"/>
                <w:lang w:val="en-US"/>
              </w:rPr>
              <w:t>The data sharing agreement</w:t>
            </w:r>
            <w:r w:rsidR="00D44A12">
              <w:rPr>
                <w:sz w:val="20"/>
                <w:szCs w:val="20"/>
                <w:lang w:val="en-US"/>
              </w:rPr>
              <w:t xml:space="preserve"> exchanges use </w:t>
            </w:r>
            <w:r w:rsidR="00D44A12">
              <w:rPr>
                <w:sz w:val="20"/>
                <w:szCs w:val="20"/>
                <w:lang w:val="en-US"/>
              </w:rPr>
              <w:lastRenderedPageBreak/>
              <w:t>an encrypted channel, the two parties have</w:t>
            </w:r>
            <w:r w:rsidRPr="009D79C7">
              <w:rPr>
                <w:sz w:val="20"/>
                <w:szCs w:val="20"/>
                <w:lang w:val="en-US"/>
              </w:rPr>
              <w:t xml:space="preserve"> </w:t>
            </w:r>
            <w:r w:rsidR="0D0E1351" w:rsidRPr="009D79C7">
              <w:rPr>
                <w:sz w:val="20"/>
                <w:szCs w:val="20"/>
                <w:lang w:val="en-US"/>
              </w:rPr>
              <w:t>mutual</w:t>
            </w:r>
            <w:r w:rsidR="00D44A12">
              <w:rPr>
                <w:sz w:val="20"/>
                <w:szCs w:val="20"/>
                <w:lang w:val="en-US"/>
              </w:rPr>
              <w:t xml:space="preserve">ly </w:t>
            </w:r>
            <w:r w:rsidRPr="009D79C7">
              <w:rPr>
                <w:sz w:val="20"/>
                <w:szCs w:val="20"/>
                <w:lang w:val="en-US"/>
              </w:rPr>
              <w:t>authenticat</w:t>
            </w:r>
            <w:r w:rsidR="00D44A12">
              <w:rPr>
                <w:sz w:val="20"/>
                <w:szCs w:val="20"/>
                <w:lang w:val="en-US"/>
              </w:rPr>
              <w:t>ed,</w:t>
            </w:r>
            <w:r w:rsidRPr="009D79C7">
              <w:rPr>
                <w:sz w:val="20"/>
                <w:szCs w:val="20"/>
                <w:lang w:val="en-US"/>
              </w:rPr>
              <w:t xml:space="preserve"> and </w:t>
            </w:r>
            <w:r w:rsidR="00D44A12">
              <w:rPr>
                <w:sz w:val="20"/>
                <w:szCs w:val="20"/>
                <w:lang w:val="en-US"/>
              </w:rPr>
              <w:t xml:space="preserve">the information of the negotiation is only visible to authorized users of the </w:t>
            </w:r>
            <w:r w:rsidRPr="009D79C7">
              <w:rPr>
                <w:sz w:val="20"/>
                <w:szCs w:val="20"/>
                <w:lang w:val="en-US"/>
              </w:rPr>
              <w:t xml:space="preserve">data producer and </w:t>
            </w:r>
            <w:r w:rsidR="00D44A12">
              <w:rPr>
                <w:sz w:val="20"/>
                <w:szCs w:val="20"/>
                <w:lang w:val="en-US"/>
              </w:rPr>
              <w:t xml:space="preserve">data </w:t>
            </w:r>
            <w:r w:rsidRPr="009D79C7">
              <w:rPr>
                <w:sz w:val="20"/>
                <w:szCs w:val="20"/>
                <w:lang w:val="en-US"/>
              </w:rPr>
              <w:t>consumer</w:t>
            </w:r>
            <w:r w:rsidR="00D44A12">
              <w:rPr>
                <w:sz w:val="20"/>
                <w:szCs w:val="20"/>
                <w:lang w:val="en-US"/>
              </w:rPr>
              <w:t xml:space="preserve"> connectors</w:t>
            </w:r>
            <w:r w:rsidR="00FF587A" w:rsidRPr="009D79C7">
              <w:rPr>
                <w:sz w:val="20"/>
                <w:szCs w:val="20"/>
                <w:lang w:val="en-US"/>
              </w:rPr>
              <w:t>.</w:t>
            </w:r>
          </w:p>
          <w:p w14:paraId="69A6EE7B" w14:textId="7793D4AC" w:rsidR="00D44A12" w:rsidRPr="00D44A12" w:rsidRDefault="00D44A12" w:rsidP="00D44A12">
            <w:pPr>
              <w:pStyle w:val="ListParagraph"/>
              <w:numPr>
                <w:ilvl w:val="0"/>
                <w:numId w:val="8"/>
              </w:numPr>
              <w:spacing w:line="259" w:lineRule="auto"/>
              <w:ind w:left="343"/>
              <w:cnfStyle w:val="000000100000" w:firstRow="0" w:lastRow="0" w:firstColumn="0" w:lastColumn="0" w:oddVBand="0" w:evenVBand="0" w:oddHBand="1" w:evenHBand="0" w:firstRowFirstColumn="0" w:firstRowLastColumn="0" w:lastRowFirstColumn="0" w:lastRowLastColumn="0"/>
              <w:rPr>
                <w:sz w:val="20"/>
                <w:szCs w:val="20"/>
                <w:lang w:val="en-US"/>
              </w:rPr>
            </w:pPr>
            <w:r w:rsidRPr="009D79C7">
              <w:rPr>
                <w:sz w:val="20"/>
                <w:szCs w:val="20"/>
                <w:lang w:val="en-US"/>
              </w:rPr>
              <w:t xml:space="preserve">Security integrity: The system provides observability </w:t>
            </w:r>
            <w:r>
              <w:rPr>
                <w:sz w:val="20"/>
                <w:szCs w:val="20"/>
                <w:lang w:val="en-US"/>
              </w:rPr>
              <w:t>records</w:t>
            </w:r>
            <w:r w:rsidRPr="009D79C7">
              <w:rPr>
                <w:sz w:val="20"/>
                <w:szCs w:val="20"/>
                <w:lang w:val="en-US"/>
              </w:rPr>
              <w:t xml:space="preserve"> of the sharing agreement </w:t>
            </w:r>
            <w:r>
              <w:rPr>
                <w:sz w:val="20"/>
                <w:szCs w:val="20"/>
                <w:lang w:val="en-US"/>
              </w:rPr>
              <w:t xml:space="preserve">states </w:t>
            </w:r>
            <w:r w:rsidRPr="009D79C7">
              <w:rPr>
                <w:sz w:val="20"/>
                <w:szCs w:val="20"/>
                <w:lang w:val="en-US"/>
              </w:rPr>
              <w:t>(privacy terms of observability are out of scope here).</w:t>
            </w:r>
          </w:p>
          <w:p w14:paraId="3FA55AD3" w14:textId="2A17D4FF" w:rsidR="00746D23" w:rsidRPr="00BD37C5" w:rsidRDefault="00FF587A" w:rsidP="00BD37C5">
            <w:pPr>
              <w:spacing w:line="259" w:lineRule="auto"/>
              <w:jc w:val="right"/>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w:t>
            </w:r>
          </w:p>
        </w:tc>
        <w:tc>
          <w:tcPr>
            <w:tcW w:w="2459" w:type="dxa"/>
            <w:tcBorders>
              <w:top w:val="single" w:sz="6" w:space="0" w:color="000000" w:themeColor="text1"/>
            </w:tcBorders>
          </w:tcPr>
          <w:p w14:paraId="4E53353F" w14:textId="62B21147" w:rsidR="7E7CB8DC" w:rsidRPr="00AD725F" w:rsidRDefault="007901F1" w:rsidP="00BD37C5">
            <w:pPr>
              <w:spacing w:line="259" w:lineRule="auto"/>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AD725F">
              <w:rPr>
                <w:b/>
                <w:bCs/>
                <w:sz w:val="20"/>
                <w:szCs w:val="20"/>
                <w:lang w:val="en-US"/>
              </w:rPr>
              <w:lastRenderedPageBreak/>
              <w:t>1,2: Test completeness: Two</w:t>
            </w:r>
            <w:r w:rsidR="72D9389D" w:rsidRPr="00AD725F">
              <w:rPr>
                <w:b/>
                <w:bCs/>
                <w:sz w:val="20"/>
                <w:szCs w:val="20"/>
                <w:lang w:val="en-US"/>
              </w:rPr>
              <w:t xml:space="preserve"> connectors </w:t>
            </w:r>
            <w:r w:rsidRPr="00AD725F">
              <w:rPr>
                <w:b/>
                <w:bCs/>
                <w:sz w:val="20"/>
                <w:szCs w:val="20"/>
                <w:lang w:val="en-US"/>
              </w:rPr>
              <w:t>can negotiate a data sharing agreement that supports a defined minimal state machine (the definition of the minimal state machine must be agreed beforehand).</w:t>
            </w:r>
          </w:p>
          <w:p w14:paraId="141EC8F0" w14:textId="086F2207" w:rsidR="007901F1" w:rsidRDefault="007901F1" w:rsidP="00BD37C5">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2: Assessment: states, transactions and outcomes are semantically defined and can be described in a vocabulary.</w:t>
            </w:r>
          </w:p>
          <w:p w14:paraId="3129C898" w14:textId="439D6953" w:rsidR="00D44A12" w:rsidRPr="00486AAF" w:rsidRDefault="007901F1" w:rsidP="00D44A12">
            <w:pPr>
              <w:spacing w:line="259" w:lineRule="auto"/>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D44A12">
              <w:rPr>
                <w:sz w:val="20"/>
                <w:szCs w:val="20"/>
                <w:lang w:val="en-US"/>
              </w:rPr>
              <w:t xml:space="preserve">3: </w:t>
            </w:r>
            <w:r w:rsidR="00486AAF">
              <w:rPr>
                <w:b/>
                <w:sz w:val="20"/>
                <w:szCs w:val="20"/>
                <w:lang w:val="en-US"/>
              </w:rPr>
              <w:t>T</w:t>
            </w:r>
            <w:r w:rsidR="00D44A12" w:rsidRPr="00486AAF">
              <w:rPr>
                <w:b/>
                <w:bCs/>
                <w:sz w:val="20"/>
                <w:szCs w:val="20"/>
                <w:lang w:val="en-US"/>
              </w:rPr>
              <w:t xml:space="preserve">ests: prove that the negotiation can </w:t>
            </w:r>
            <w:r w:rsidR="00486AAF" w:rsidRPr="00486AAF">
              <w:rPr>
                <w:b/>
                <w:bCs/>
                <w:sz w:val="20"/>
                <w:szCs w:val="20"/>
                <w:lang w:val="en-US"/>
              </w:rPr>
              <w:t>use the following assets and parameters to define a contract:</w:t>
            </w:r>
          </w:p>
          <w:p w14:paraId="3D32657B" w14:textId="77777777" w:rsidR="00D44A12" w:rsidRPr="00486AAF" w:rsidRDefault="00D44A12" w:rsidP="00D44A12">
            <w:pPr>
              <w:pStyle w:val="ListParagraph"/>
              <w:numPr>
                <w:ilvl w:val="0"/>
                <w:numId w:val="9"/>
              </w:numPr>
              <w:spacing w:line="259" w:lineRule="auto"/>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6AAF">
              <w:rPr>
                <w:b/>
                <w:bCs/>
                <w:sz w:val="20"/>
                <w:szCs w:val="20"/>
                <w:lang w:val="en-US"/>
              </w:rPr>
              <w:t>Claim verification</w:t>
            </w:r>
          </w:p>
          <w:p w14:paraId="229E7441" w14:textId="77777777" w:rsidR="00D44A12" w:rsidRPr="00486AAF" w:rsidRDefault="00D44A12" w:rsidP="00D44A12">
            <w:pPr>
              <w:pStyle w:val="ListParagraph"/>
              <w:numPr>
                <w:ilvl w:val="0"/>
                <w:numId w:val="9"/>
              </w:numPr>
              <w:spacing w:line="259" w:lineRule="auto"/>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6AAF">
              <w:rPr>
                <w:b/>
                <w:bCs/>
                <w:sz w:val="20"/>
                <w:szCs w:val="20"/>
                <w:lang w:val="en-US"/>
              </w:rPr>
              <w:t>Usage policy rules</w:t>
            </w:r>
          </w:p>
          <w:p w14:paraId="41ED55C0" w14:textId="77777777" w:rsidR="00D44A12" w:rsidRPr="00486AAF" w:rsidRDefault="00D44A12" w:rsidP="00D44A12">
            <w:pPr>
              <w:pStyle w:val="ListParagraph"/>
              <w:numPr>
                <w:ilvl w:val="0"/>
                <w:numId w:val="9"/>
              </w:numPr>
              <w:spacing w:line="259" w:lineRule="auto"/>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6AAF">
              <w:rPr>
                <w:b/>
                <w:bCs/>
                <w:sz w:val="20"/>
                <w:szCs w:val="20"/>
                <w:lang w:val="en-US"/>
              </w:rPr>
              <w:t>Service Agreements</w:t>
            </w:r>
          </w:p>
          <w:p w14:paraId="04D38D61" w14:textId="7DFBDA29" w:rsidR="007901F1" w:rsidRPr="00486AAF" w:rsidRDefault="00D44A12" w:rsidP="00D44A12">
            <w:pPr>
              <w:spacing w:line="259" w:lineRule="auto"/>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6AAF">
              <w:rPr>
                <w:b/>
                <w:bCs/>
                <w:sz w:val="20"/>
                <w:szCs w:val="20"/>
                <w:lang w:val="en-US"/>
              </w:rPr>
              <w:t>The larger the coverage, the higher the rank.</w:t>
            </w:r>
          </w:p>
          <w:p w14:paraId="08C31782" w14:textId="0522A3F6" w:rsidR="00D44A12" w:rsidRDefault="00D44A12" w:rsidP="264C699D">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4: </w:t>
            </w:r>
            <w:r w:rsidR="0032208A">
              <w:rPr>
                <w:sz w:val="20"/>
                <w:szCs w:val="20"/>
                <w:lang w:val="en-US"/>
              </w:rPr>
              <w:t xml:space="preserve">Test: create a sharing agreement that always lands in a “hold state” </w:t>
            </w:r>
            <w:r w:rsidR="0056381E">
              <w:rPr>
                <w:sz w:val="20"/>
                <w:szCs w:val="20"/>
                <w:lang w:val="en-US"/>
              </w:rPr>
              <w:t>waiting</w:t>
            </w:r>
            <w:r w:rsidR="0032208A">
              <w:rPr>
                <w:sz w:val="20"/>
                <w:szCs w:val="20"/>
                <w:lang w:val="en-US"/>
              </w:rPr>
              <w:t xml:space="preserve"> for manual or external </w:t>
            </w:r>
            <w:r w:rsidR="0056381E">
              <w:rPr>
                <w:sz w:val="20"/>
                <w:szCs w:val="20"/>
                <w:lang w:val="en-US"/>
              </w:rPr>
              <w:t>service input.</w:t>
            </w:r>
          </w:p>
          <w:p w14:paraId="469B1B8C" w14:textId="4E9F7036" w:rsidR="0056381E" w:rsidRPr="00486AAF" w:rsidRDefault="0056381E" w:rsidP="264C699D">
            <w:pPr>
              <w:spacing w:line="259" w:lineRule="auto"/>
              <w:cnfStyle w:val="000000100000" w:firstRow="0" w:lastRow="0" w:firstColumn="0" w:lastColumn="0" w:oddVBand="0" w:evenVBand="0" w:oddHBand="1" w:evenHBand="0" w:firstRowFirstColumn="0" w:firstRowLastColumn="0" w:lastRowFirstColumn="0" w:lastRowLastColumn="0"/>
              <w:rPr>
                <w:b/>
                <w:bCs/>
                <w:sz w:val="20"/>
                <w:szCs w:val="20"/>
                <w:lang w:val="en-US"/>
              </w:rPr>
            </w:pPr>
            <w:r>
              <w:rPr>
                <w:sz w:val="20"/>
                <w:szCs w:val="20"/>
                <w:lang w:val="en-US"/>
              </w:rPr>
              <w:t xml:space="preserve">5: </w:t>
            </w:r>
            <w:r w:rsidRPr="00486AAF">
              <w:rPr>
                <w:b/>
                <w:bCs/>
                <w:sz w:val="20"/>
                <w:szCs w:val="20"/>
                <w:lang w:val="en-US"/>
              </w:rPr>
              <w:t xml:space="preserve">Assessment / test that the system provides </w:t>
            </w:r>
            <w:proofErr w:type="gramStart"/>
            <w:r w:rsidRPr="00486AAF">
              <w:rPr>
                <w:b/>
                <w:bCs/>
                <w:sz w:val="20"/>
                <w:szCs w:val="20"/>
                <w:lang w:val="en-US"/>
              </w:rPr>
              <w:t xml:space="preserve">a </w:t>
            </w:r>
            <w:r w:rsidRPr="00486AAF">
              <w:rPr>
                <w:b/>
                <w:bCs/>
                <w:sz w:val="20"/>
                <w:szCs w:val="20"/>
                <w:lang w:val="en-US"/>
              </w:rPr>
              <w:lastRenderedPageBreak/>
              <w:t>working feedback</w:t>
            </w:r>
            <w:proofErr w:type="gramEnd"/>
            <w:r w:rsidRPr="00486AAF">
              <w:rPr>
                <w:b/>
                <w:bCs/>
                <w:sz w:val="20"/>
                <w:szCs w:val="20"/>
                <w:lang w:val="en-US"/>
              </w:rPr>
              <w:t xml:space="preserve"> to notify participants of the status and holding of a sharing agreement.</w:t>
            </w:r>
          </w:p>
          <w:p w14:paraId="2F14CD42" w14:textId="77777777" w:rsidR="0056381E" w:rsidRPr="00486AAF" w:rsidRDefault="0056381E" w:rsidP="264C699D">
            <w:pPr>
              <w:spacing w:line="259" w:lineRule="auto"/>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6AAF">
              <w:rPr>
                <w:b/>
                <w:bCs/>
                <w:sz w:val="20"/>
                <w:szCs w:val="20"/>
                <w:lang w:val="en-US"/>
              </w:rPr>
              <w:t>6</w:t>
            </w:r>
            <w:r w:rsidR="00D44A12" w:rsidRPr="00486AAF">
              <w:rPr>
                <w:b/>
                <w:bCs/>
                <w:sz w:val="20"/>
                <w:szCs w:val="20"/>
                <w:lang w:val="en-US"/>
              </w:rPr>
              <w:t>: Test that the data sharing protocol is compatible with channel encryption (e.g. TLS), that a connector authentication has taken place exclusively for the data sharing negotiation</w:t>
            </w:r>
            <w:r w:rsidRPr="00486AAF">
              <w:rPr>
                <w:b/>
                <w:bCs/>
                <w:sz w:val="20"/>
                <w:szCs w:val="20"/>
                <w:lang w:val="en-US"/>
              </w:rPr>
              <w:t>.</w:t>
            </w:r>
          </w:p>
          <w:p w14:paraId="2138D4A2" w14:textId="6820C65B" w:rsidR="7E7CB8DC" w:rsidRDefault="0056381E" w:rsidP="264C699D">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7: Verify that the system outputs logs detailing the sharing agreement process. Rank higher if the logs provide business information under a standard format. </w:t>
            </w:r>
            <w:r w:rsidR="0AE8599E" w:rsidRPr="264C699D">
              <w:rPr>
                <w:sz w:val="20"/>
                <w:szCs w:val="20"/>
                <w:lang w:val="en-US"/>
              </w:rPr>
              <w:t xml:space="preserve"> </w:t>
            </w:r>
          </w:p>
        </w:tc>
      </w:tr>
      <w:tr w:rsidR="003A05BB" w:rsidRPr="006F4E96" w14:paraId="7F2F8530" w14:textId="77777777" w:rsidTr="264C699D">
        <w:trPr>
          <w:trHeight w:val="300"/>
        </w:trPr>
        <w:tc>
          <w:tcPr>
            <w:cnfStyle w:val="001000000000" w:firstRow="0" w:lastRow="0" w:firstColumn="1" w:lastColumn="0" w:oddVBand="0" w:evenVBand="0" w:oddHBand="0" w:evenHBand="0" w:firstRowFirstColumn="0" w:firstRowLastColumn="0" w:lastRowFirstColumn="0" w:lastRowLastColumn="0"/>
            <w:tcW w:w="1305" w:type="dxa"/>
            <w:tcBorders>
              <w:right w:val="single" w:sz="6" w:space="0" w:color="000000" w:themeColor="text1"/>
            </w:tcBorders>
          </w:tcPr>
          <w:p w14:paraId="474B8AB6" w14:textId="77777777" w:rsidR="00746D23" w:rsidRPr="006F4E96" w:rsidRDefault="59B86590" w:rsidP="00BD37C5">
            <w:pPr>
              <w:spacing w:line="259" w:lineRule="auto"/>
              <w:rPr>
                <w:sz w:val="20"/>
                <w:szCs w:val="20"/>
              </w:rPr>
            </w:pPr>
            <w:r w:rsidRPr="7E7CB8DC">
              <w:rPr>
                <w:sz w:val="20"/>
                <w:szCs w:val="20"/>
              </w:rPr>
              <w:lastRenderedPageBreak/>
              <w:t>Adjusting usage policies</w:t>
            </w:r>
          </w:p>
        </w:tc>
        <w:tc>
          <w:tcPr>
            <w:tcW w:w="2487" w:type="dxa"/>
            <w:tcBorders>
              <w:left w:val="single" w:sz="6" w:space="0" w:color="000000" w:themeColor="text1"/>
            </w:tcBorders>
          </w:tcPr>
          <w:p w14:paraId="381544BB" w14:textId="622AFDE6" w:rsidR="00746D23" w:rsidRPr="006F4E96" w:rsidRDefault="29087BF6" w:rsidP="00BD37C5">
            <w:pPr>
              <w:spacing w:line="259"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7E7CB8DC">
              <w:rPr>
                <w:sz w:val="20"/>
                <w:szCs w:val="20"/>
              </w:rPr>
              <w:t xml:space="preserve">If an initial </w:t>
            </w:r>
            <w:r w:rsidR="6069B0E9" w:rsidRPr="7E7CB8DC">
              <w:rPr>
                <w:sz w:val="20"/>
                <w:szCs w:val="20"/>
              </w:rPr>
              <w:t xml:space="preserve">contract agreement </w:t>
            </w:r>
            <w:r w:rsidRPr="7E7CB8DC">
              <w:rPr>
                <w:sz w:val="20"/>
                <w:szCs w:val="20"/>
              </w:rPr>
              <w:t xml:space="preserve">is not found, the data producer might decide to relinquish some usage </w:t>
            </w:r>
            <w:proofErr w:type="gramStart"/>
            <w:r w:rsidRPr="7E7CB8DC">
              <w:rPr>
                <w:sz w:val="20"/>
                <w:szCs w:val="20"/>
              </w:rPr>
              <w:t>policies, or</w:t>
            </w:r>
            <w:proofErr w:type="gramEnd"/>
            <w:r w:rsidRPr="7E7CB8DC">
              <w:rPr>
                <w:sz w:val="20"/>
                <w:szCs w:val="20"/>
              </w:rPr>
              <w:t xml:space="preserve"> introduce different ones as a result of the negotiation with the data consumer.</w:t>
            </w:r>
          </w:p>
        </w:tc>
        <w:tc>
          <w:tcPr>
            <w:tcW w:w="2895" w:type="dxa"/>
          </w:tcPr>
          <w:p w14:paraId="22FA80E5" w14:textId="74EDA342" w:rsidR="00EB4F66" w:rsidRPr="009D79C7" w:rsidRDefault="00EB4F66" w:rsidP="00B971AC">
            <w:pPr>
              <w:pStyle w:val="ListParagraph"/>
              <w:numPr>
                <w:ilvl w:val="0"/>
                <w:numId w:val="6"/>
              </w:numPr>
              <w:spacing w:line="259" w:lineRule="auto"/>
              <w:ind w:left="343"/>
              <w:cnfStyle w:val="000000000000" w:firstRow="0" w:lastRow="0" w:firstColumn="0" w:lastColumn="0" w:oddVBand="0" w:evenVBand="0" w:oddHBand="0" w:evenHBand="0" w:firstRowFirstColumn="0" w:firstRowLastColumn="0" w:lastRowFirstColumn="0" w:lastRowLastColumn="0"/>
              <w:rPr>
                <w:sz w:val="20"/>
                <w:szCs w:val="20"/>
                <w:lang w:val="en-US"/>
              </w:rPr>
            </w:pPr>
            <w:r w:rsidRPr="009D79C7">
              <w:rPr>
                <w:sz w:val="20"/>
                <w:szCs w:val="20"/>
                <w:lang w:val="en-US"/>
              </w:rPr>
              <w:t xml:space="preserve">Functional completeness: </w:t>
            </w:r>
            <w:r w:rsidR="00B971AC">
              <w:rPr>
                <w:sz w:val="20"/>
                <w:szCs w:val="20"/>
                <w:lang w:val="en-US"/>
              </w:rPr>
              <w:t xml:space="preserve">The system </w:t>
            </w:r>
            <w:r w:rsidR="003A05BB">
              <w:rPr>
                <w:sz w:val="20"/>
                <w:szCs w:val="20"/>
                <w:lang w:val="en-US"/>
              </w:rPr>
              <w:t>supports the making of a counterproposal in data sharing negotiation.</w:t>
            </w:r>
          </w:p>
        </w:tc>
        <w:tc>
          <w:tcPr>
            <w:tcW w:w="2459" w:type="dxa"/>
          </w:tcPr>
          <w:p w14:paraId="7E13C371" w14:textId="3FA602F7" w:rsidR="7E7CB8DC" w:rsidRDefault="003A05BB" w:rsidP="003A05BB">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Skip tests: The feature is either unfinished (EDC) or absent (Fiware). </w:t>
            </w:r>
          </w:p>
        </w:tc>
      </w:tr>
      <w:tr w:rsidR="003A05BB" w:rsidRPr="006F4E96" w14:paraId="240CB8C7" w14:textId="77777777" w:rsidTr="264C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05" w:type="dxa"/>
            <w:tcBorders>
              <w:right w:val="single" w:sz="6" w:space="0" w:color="000000" w:themeColor="text1"/>
            </w:tcBorders>
          </w:tcPr>
          <w:p w14:paraId="5D1584E3" w14:textId="77777777" w:rsidR="00746D23" w:rsidRPr="006F4E96" w:rsidRDefault="59B86590" w:rsidP="00BD37C5">
            <w:pPr>
              <w:spacing w:line="259" w:lineRule="auto"/>
              <w:rPr>
                <w:sz w:val="20"/>
                <w:szCs w:val="20"/>
              </w:rPr>
            </w:pPr>
            <w:r w:rsidRPr="7E7CB8DC">
              <w:rPr>
                <w:sz w:val="20"/>
                <w:szCs w:val="20"/>
              </w:rPr>
              <w:t xml:space="preserve">Refusal or registration of sharing agreement </w:t>
            </w:r>
          </w:p>
        </w:tc>
        <w:tc>
          <w:tcPr>
            <w:tcW w:w="2487" w:type="dxa"/>
            <w:tcBorders>
              <w:left w:val="single" w:sz="6" w:space="0" w:color="000000" w:themeColor="text1"/>
            </w:tcBorders>
          </w:tcPr>
          <w:p w14:paraId="1D97DB73" w14:textId="77777777" w:rsidR="00746D23" w:rsidRPr="006F4E96" w:rsidRDefault="59B86590" w:rsidP="00BD37C5">
            <w:pPr>
              <w:spacing w:line="259" w:lineRule="auto"/>
              <w:jc w:val="right"/>
              <w:cnfStyle w:val="000000100000" w:firstRow="0" w:lastRow="0" w:firstColumn="0" w:lastColumn="0" w:oddVBand="0" w:evenVBand="0" w:oddHBand="1" w:evenHBand="0" w:firstRowFirstColumn="0" w:firstRowLastColumn="0" w:lastRowFirstColumn="0" w:lastRowLastColumn="0"/>
              <w:rPr>
                <w:sz w:val="20"/>
                <w:szCs w:val="20"/>
              </w:rPr>
            </w:pPr>
            <w:r w:rsidRPr="7E7CB8DC">
              <w:rPr>
                <w:sz w:val="20"/>
                <w:szCs w:val="20"/>
              </w:rPr>
              <w:t>The data consumer is updated on the result of the negotiation, eventually the data sharing agreement comes in force and is stored in the consumer’s connector.</w:t>
            </w:r>
          </w:p>
        </w:tc>
        <w:tc>
          <w:tcPr>
            <w:tcW w:w="2895" w:type="dxa"/>
          </w:tcPr>
          <w:p w14:paraId="51A2F30B" w14:textId="57261592" w:rsidR="00746D23" w:rsidRPr="009D79C7" w:rsidRDefault="29087BF6" w:rsidP="003A05BB">
            <w:pPr>
              <w:pStyle w:val="ListParagraph"/>
              <w:numPr>
                <w:ilvl w:val="0"/>
                <w:numId w:val="11"/>
              </w:numPr>
              <w:spacing w:line="259" w:lineRule="auto"/>
              <w:ind w:left="343"/>
              <w:cnfStyle w:val="000000100000" w:firstRow="0" w:lastRow="0" w:firstColumn="0" w:lastColumn="0" w:oddVBand="0" w:evenVBand="0" w:oddHBand="1" w:evenHBand="0" w:firstRowFirstColumn="0" w:firstRowLastColumn="0" w:lastRowFirstColumn="0" w:lastRowLastColumn="0"/>
              <w:rPr>
                <w:sz w:val="20"/>
                <w:szCs w:val="20"/>
                <w:lang w:val="en-US"/>
              </w:rPr>
            </w:pPr>
            <w:r w:rsidRPr="009D79C7">
              <w:rPr>
                <w:sz w:val="20"/>
                <w:szCs w:val="20"/>
                <w:lang w:val="en-US"/>
              </w:rPr>
              <w:t xml:space="preserve">Security Confidentiality: </w:t>
            </w:r>
            <w:r w:rsidR="00EA7945" w:rsidRPr="009D79C7">
              <w:rPr>
                <w:sz w:val="20"/>
                <w:szCs w:val="20"/>
                <w:lang w:val="en-US"/>
              </w:rPr>
              <w:t xml:space="preserve">The system </w:t>
            </w:r>
            <w:r w:rsidRPr="009D79C7">
              <w:rPr>
                <w:sz w:val="20"/>
                <w:szCs w:val="20"/>
                <w:lang w:val="en-US"/>
              </w:rPr>
              <w:t>ensure</w:t>
            </w:r>
            <w:r w:rsidR="00EA7945" w:rsidRPr="009D79C7">
              <w:rPr>
                <w:sz w:val="20"/>
                <w:szCs w:val="20"/>
                <w:lang w:val="en-US"/>
              </w:rPr>
              <w:t>s</w:t>
            </w:r>
            <w:r w:rsidRPr="009D79C7">
              <w:rPr>
                <w:sz w:val="20"/>
                <w:szCs w:val="20"/>
                <w:lang w:val="en-US"/>
              </w:rPr>
              <w:t xml:space="preserve"> that </w:t>
            </w:r>
            <w:r w:rsidR="00EA7945" w:rsidRPr="009D79C7">
              <w:rPr>
                <w:sz w:val="20"/>
                <w:szCs w:val="20"/>
                <w:lang w:val="en-US"/>
              </w:rPr>
              <w:t xml:space="preserve">confidential details of the agreement are only </w:t>
            </w:r>
            <w:r w:rsidR="003A05BB">
              <w:rPr>
                <w:sz w:val="20"/>
                <w:szCs w:val="20"/>
                <w:lang w:val="en-US"/>
              </w:rPr>
              <w:t xml:space="preserve">shared </w:t>
            </w:r>
            <w:r w:rsidR="003A05BB" w:rsidRPr="009D79C7">
              <w:rPr>
                <w:sz w:val="20"/>
                <w:szCs w:val="20"/>
                <w:lang w:val="en-US"/>
              </w:rPr>
              <w:t>between authorized</w:t>
            </w:r>
            <w:r w:rsidRPr="009D79C7">
              <w:rPr>
                <w:sz w:val="20"/>
                <w:szCs w:val="20"/>
                <w:lang w:val="en-US"/>
              </w:rPr>
              <w:t xml:space="preserve"> </w:t>
            </w:r>
            <w:r w:rsidR="00EA7945" w:rsidRPr="009D79C7">
              <w:rPr>
                <w:sz w:val="20"/>
                <w:szCs w:val="20"/>
                <w:lang w:val="en-US"/>
              </w:rPr>
              <w:t>participants.</w:t>
            </w:r>
          </w:p>
          <w:p w14:paraId="503B2723" w14:textId="3AB786FC" w:rsidR="00EA7945" w:rsidRPr="009D79C7" w:rsidRDefault="00EA7945" w:rsidP="003A05BB">
            <w:pPr>
              <w:pStyle w:val="ListParagraph"/>
              <w:numPr>
                <w:ilvl w:val="0"/>
                <w:numId w:val="11"/>
              </w:numPr>
              <w:spacing w:line="259" w:lineRule="auto"/>
              <w:ind w:left="343"/>
              <w:cnfStyle w:val="000000100000" w:firstRow="0" w:lastRow="0" w:firstColumn="0" w:lastColumn="0" w:oddVBand="0" w:evenVBand="0" w:oddHBand="1" w:evenHBand="0" w:firstRowFirstColumn="0" w:firstRowLastColumn="0" w:lastRowFirstColumn="0" w:lastRowLastColumn="0"/>
              <w:rPr>
                <w:sz w:val="20"/>
                <w:szCs w:val="20"/>
                <w:lang w:val="en-US"/>
              </w:rPr>
            </w:pPr>
            <w:r w:rsidRPr="009D79C7">
              <w:rPr>
                <w:sz w:val="20"/>
                <w:szCs w:val="20"/>
                <w:lang w:val="en-US"/>
              </w:rPr>
              <w:t>Security integrity</w:t>
            </w:r>
            <w:r w:rsidR="565B2E19" w:rsidRPr="009D79C7">
              <w:rPr>
                <w:sz w:val="20"/>
                <w:szCs w:val="20"/>
                <w:lang w:val="en-US"/>
              </w:rPr>
              <w:t xml:space="preserve">: </w:t>
            </w:r>
            <w:r w:rsidRPr="009D79C7">
              <w:rPr>
                <w:sz w:val="20"/>
                <w:szCs w:val="20"/>
                <w:lang w:val="en-US"/>
              </w:rPr>
              <w:t xml:space="preserve">The system provides </w:t>
            </w:r>
            <w:proofErr w:type="gramStart"/>
            <w:r w:rsidRPr="009D79C7">
              <w:rPr>
                <w:sz w:val="20"/>
                <w:szCs w:val="20"/>
                <w:lang w:val="en-US"/>
              </w:rPr>
              <w:t>a</w:t>
            </w:r>
            <w:proofErr w:type="gramEnd"/>
            <w:r w:rsidR="003A05BB">
              <w:rPr>
                <w:sz w:val="20"/>
                <w:szCs w:val="20"/>
                <w:lang w:val="en-US"/>
              </w:rPr>
              <w:t xml:space="preserve"> </w:t>
            </w:r>
            <w:r w:rsidRPr="009D79C7">
              <w:rPr>
                <w:sz w:val="20"/>
                <w:szCs w:val="20"/>
                <w:lang w:val="en-US"/>
              </w:rPr>
              <w:t>observability trace of the sharing agreement (privacy terms of observability are out of scope here).</w:t>
            </w:r>
          </w:p>
          <w:p w14:paraId="76B3CC93" w14:textId="62B43974" w:rsidR="006F18B1" w:rsidRPr="009D79C7" w:rsidRDefault="006F18B1" w:rsidP="003A05BB">
            <w:pPr>
              <w:pStyle w:val="ListParagraph"/>
              <w:numPr>
                <w:ilvl w:val="0"/>
                <w:numId w:val="11"/>
              </w:numPr>
              <w:spacing w:line="259" w:lineRule="auto"/>
              <w:ind w:left="343"/>
              <w:cnfStyle w:val="000000100000" w:firstRow="0" w:lastRow="0" w:firstColumn="0" w:lastColumn="0" w:oddVBand="0" w:evenVBand="0" w:oddHBand="1" w:evenHBand="0" w:firstRowFirstColumn="0" w:firstRowLastColumn="0" w:lastRowFirstColumn="0" w:lastRowLastColumn="0"/>
              <w:rPr>
                <w:sz w:val="20"/>
                <w:szCs w:val="20"/>
                <w:lang w:val="en-US"/>
              </w:rPr>
            </w:pPr>
            <w:r w:rsidRPr="009D79C7">
              <w:rPr>
                <w:sz w:val="20"/>
                <w:szCs w:val="20"/>
                <w:lang w:val="en-US"/>
              </w:rPr>
              <w:t>Integrity: A negotiated sharing agreement</w:t>
            </w:r>
            <w:r w:rsidR="003A05BB">
              <w:rPr>
                <w:sz w:val="20"/>
                <w:szCs w:val="20"/>
                <w:lang w:val="en-US"/>
              </w:rPr>
              <w:t xml:space="preserve"> trace</w:t>
            </w:r>
            <w:r w:rsidRPr="009D79C7">
              <w:rPr>
                <w:sz w:val="20"/>
                <w:szCs w:val="20"/>
                <w:lang w:val="en-US"/>
              </w:rPr>
              <w:t xml:space="preserve"> is persisted on a tamper-proof storage / DB.</w:t>
            </w:r>
          </w:p>
          <w:p w14:paraId="65CA7C3A" w14:textId="7E20ED43" w:rsidR="00746D23" w:rsidRPr="00BD37C5" w:rsidRDefault="00EA7945" w:rsidP="00BD37C5">
            <w:pPr>
              <w:spacing w:line="259" w:lineRule="auto"/>
              <w:jc w:val="right"/>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 </w:t>
            </w:r>
          </w:p>
        </w:tc>
        <w:tc>
          <w:tcPr>
            <w:tcW w:w="2459" w:type="dxa"/>
          </w:tcPr>
          <w:p w14:paraId="1A09AF43" w14:textId="52086DA6" w:rsidR="7E7CB8DC" w:rsidRPr="00486AAF" w:rsidRDefault="003A05BB" w:rsidP="00BD37C5">
            <w:pPr>
              <w:spacing w:line="259" w:lineRule="auto"/>
              <w:cnfStyle w:val="000000100000" w:firstRow="0" w:lastRow="0" w:firstColumn="0" w:lastColumn="0" w:oddVBand="0" w:evenVBand="0" w:oddHBand="1" w:evenHBand="0" w:firstRowFirstColumn="0" w:firstRowLastColumn="0" w:lastRowFirstColumn="0" w:lastRowLastColumn="0"/>
              <w:rPr>
                <w:b/>
                <w:bCs/>
                <w:sz w:val="20"/>
                <w:szCs w:val="20"/>
                <w:lang w:val="en-US"/>
              </w:rPr>
            </w:pPr>
            <w:r>
              <w:rPr>
                <w:sz w:val="20"/>
                <w:szCs w:val="20"/>
                <w:lang w:val="en-US"/>
              </w:rPr>
              <w:t>1</w:t>
            </w:r>
            <w:r w:rsidRPr="00486AAF">
              <w:rPr>
                <w:b/>
                <w:bCs/>
                <w:sz w:val="20"/>
                <w:szCs w:val="20"/>
                <w:lang w:val="en-US"/>
              </w:rPr>
              <w:t>: Assessment: either the negotiation API, or the status messages, or the negotiation logs, are not accessible to entities other than the negotiating participants and the system admin (privileged role).</w:t>
            </w:r>
          </w:p>
          <w:p w14:paraId="61475973" w14:textId="4639936D" w:rsidR="7E7CB8DC" w:rsidRPr="00486AAF" w:rsidRDefault="003A05BB" w:rsidP="264C699D">
            <w:pPr>
              <w:spacing w:line="259" w:lineRule="auto"/>
              <w:cnfStyle w:val="000000100000" w:firstRow="0" w:lastRow="0" w:firstColumn="0" w:lastColumn="0" w:oddVBand="0" w:evenVBand="0" w:oddHBand="1" w:evenHBand="0" w:firstRowFirstColumn="0" w:firstRowLastColumn="0" w:lastRowFirstColumn="0" w:lastRowLastColumn="0"/>
              <w:rPr>
                <w:b/>
                <w:bCs/>
                <w:sz w:val="20"/>
                <w:szCs w:val="20"/>
                <w:lang w:val="en-US"/>
              </w:rPr>
            </w:pPr>
            <w:r w:rsidRPr="00486AAF">
              <w:rPr>
                <w:b/>
                <w:bCs/>
                <w:sz w:val="20"/>
                <w:szCs w:val="20"/>
                <w:lang w:val="en-US"/>
              </w:rPr>
              <w:t>2: Assessment: See p7 of Sharing agreement negotiation.</w:t>
            </w:r>
          </w:p>
          <w:p w14:paraId="334A28C5" w14:textId="3C3E4EBB" w:rsidR="003A05BB" w:rsidRDefault="003A05BB" w:rsidP="264C699D">
            <w:pPr>
              <w:spacing w:line="259"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3: Assessment: determine if the logging system is protected against intrusion.</w:t>
            </w:r>
          </w:p>
        </w:tc>
      </w:tr>
      <w:tr w:rsidR="003A05BB" w:rsidRPr="006F4E96" w14:paraId="7CEF84B4" w14:textId="77777777" w:rsidTr="264C699D">
        <w:trPr>
          <w:trHeight w:val="300"/>
        </w:trPr>
        <w:tc>
          <w:tcPr>
            <w:cnfStyle w:val="001000000000" w:firstRow="0" w:lastRow="0" w:firstColumn="1" w:lastColumn="0" w:oddVBand="0" w:evenVBand="0" w:oddHBand="0" w:evenHBand="0" w:firstRowFirstColumn="0" w:firstRowLastColumn="0" w:lastRowFirstColumn="0" w:lastRowLastColumn="0"/>
            <w:tcW w:w="1305" w:type="dxa"/>
            <w:tcBorders>
              <w:right w:val="single" w:sz="6" w:space="0" w:color="000000" w:themeColor="text1"/>
            </w:tcBorders>
          </w:tcPr>
          <w:p w14:paraId="17197FDD" w14:textId="77777777" w:rsidR="00746D23" w:rsidRPr="006F4E96" w:rsidRDefault="59B86590" w:rsidP="00BD37C5">
            <w:pPr>
              <w:spacing w:line="259" w:lineRule="auto"/>
              <w:rPr>
                <w:sz w:val="20"/>
                <w:szCs w:val="20"/>
              </w:rPr>
            </w:pPr>
            <w:r w:rsidRPr="7E7CB8DC">
              <w:rPr>
                <w:sz w:val="20"/>
                <w:szCs w:val="20"/>
              </w:rPr>
              <w:t>Update observability registry</w:t>
            </w:r>
          </w:p>
        </w:tc>
        <w:tc>
          <w:tcPr>
            <w:tcW w:w="2487" w:type="dxa"/>
            <w:tcBorders>
              <w:left w:val="single" w:sz="6" w:space="0" w:color="000000" w:themeColor="text1"/>
            </w:tcBorders>
          </w:tcPr>
          <w:p w14:paraId="484B0565" w14:textId="578FBB31" w:rsidR="00746D23" w:rsidRPr="006F4E96" w:rsidRDefault="29087BF6" w:rsidP="00BD37C5">
            <w:pPr>
              <w:spacing w:line="259" w:lineRule="auto"/>
              <w:jc w:val="right"/>
              <w:cnfStyle w:val="000000000000" w:firstRow="0" w:lastRow="0" w:firstColumn="0" w:lastColumn="0" w:oddVBand="0" w:evenVBand="0" w:oddHBand="0" w:evenHBand="0" w:firstRowFirstColumn="0" w:firstRowLastColumn="0" w:lastRowFirstColumn="0" w:lastRowLastColumn="0"/>
              <w:rPr>
                <w:sz w:val="20"/>
                <w:szCs w:val="20"/>
              </w:rPr>
            </w:pPr>
            <w:r w:rsidRPr="7E7CB8DC">
              <w:rPr>
                <w:sz w:val="20"/>
                <w:szCs w:val="20"/>
              </w:rPr>
              <w:t xml:space="preserve">When a data sharing agreement comes in force, the logs of the transaction are </w:t>
            </w:r>
            <w:r w:rsidR="4084BE62" w:rsidRPr="7E7CB8DC">
              <w:rPr>
                <w:sz w:val="20"/>
                <w:szCs w:val="20"/>
              </w:rPr>
              <w:t xml:space="preserve">(optionally) </w:t>
            </w:r>
            <w:r w:rsidRPr="7E7CB8DC">
              <w:rPr>
                <w:sz w:val="20"/>
                <w:szCs w:val="20"/>
              </w:rPr>
              <w:t xml:space="preserve">shipped to the data space observability </w:t>
            </w:r>
            <w:r w:rsidRPr="7E7CB8DC">
              <w:rPr>
                <w:sz w:val="20"/>
                <w:szCs w:val="20"/>
              </w:rPr>
              <w:lastRenderedPageBreak/>
              <w:t>registry for governance controls.</w:t>
            </w:r>
          </w:p>
        </w:tc>
        <w:tc>
          <w:tcPr>
            <w:tcW w:w="2895" w:type="dxa"/>
          </w:tcPr>
          <w:p w14:paraId="46F33831" w14:textId="77777777" w:rsidR="00746D23" w:rsidRPr="009D79C7" w:rsidRDefault="565B2E19" w:rsidP="009D79C7">
            <w:pPr>
              <w:pStyle w:val="ListParagraph"/>
              <w:numPr>
                <w:ilvl w:val="0"/>
                <w:numId w:val="4"/>
              </w:numPr>
              <w:spacing w:line="259" w:lineRule="auto"/>
              <w:ind w:left="343"/>
              <w:cnfStyle w:val="000000000000" w:firstRow="0" w:lastRow="0" w:firstColumn="0" w:lastColumn="0" w:oddVBand="0" w:evenVBand="0" w:oddHBand="0" w:evenHBand="0" w:firstRowFirstColumn="0" w:firstRowLastColumn="0" w:lastRowFirstColumn="0" w:lastRowLastColumn="0"/>
              <w:rPr>
                <w:sz w:val="20"/>
                <w:szCs w:val="20"/>
                <w:lang w:val="en-US"/>
              </w:rPr>
            </w:pPr>
            <w:r w:rsidRPr="009D79C7">
              <w:rPr>
                <w:sz w:val="20"/>
                <w:szCs w:val="20"/>
                <w:lang w:val="en-US"/>
              </w:rPr>
              <w:lastRenderedPageBreak/>
              <w:t xml:space="preserve">Security Accountability: </w:t>
            </w:r>
            <w:r w:rsidR="006F18B1" w:rsidRPr="009D79C7">
              <w:rPr>
                <w:sz w:val="20"/>
                <w:szCs w:val="20"/>
                <w:lang w:val="en-US"/>
              </w:rPr>
              <w:t>The traces generated during the sharing agreement phases are bound to involved participants.</w:t>
            </w:r>
          </w:p>
          <w:p w14:paraId="36E2D7B3" w14:textId="77777777" w:rsidR="006F18B1" w:rsidRPr="009D79C7" w:rsidRDefault="006F18B1" w:rsidP="009D79C7">
            <w:pPr>
              <w:pStyle w:val="ListParagraph"/>
              <w:numPr>
                <w:ilvl w:val="0"/>
                <w:numId w:val="4"/>
              </w:numPr>
              <w:spacing w:line="259" w:lineRule="auto"/>
              <w:ind w:left="343"/>
              <w:cnfStyle w:val="000000000000" w:firstRow="0" w:lastRow="0" w:firstColumn="0" w:lastColumn="0" w:oddVBand="0" w:evenVBand="0" w:oddHBand="0" w:evenHBand="0" w:firstRowFirstColumn="0" w:firstRowLastColumn="0" w:lastRowFirstColumn="0" w:lastRowLastColumn="0"/>
              <w:rPr>
                <w:sz w:val="20"/>
                <w:szCs w:val="20"/>
                <w:lang w:val="en-US"/>
              </w:rPr>
            </w:pPr>
            <w:r w:rsidRPr="009D79C7">
              <w:rPr>
                <w:sz w:val="20"/>
                <w:szCs w:val="20"/>
                <w:lang w:val="en-US"/>
              </w:rPr>
              <w:lastRenderedPageBreak/>
              <w:t>Security confidentiality: Participant’s identifiers in observability traces are obfuscated.</w:t>
            </w:r>
          </w:p>
          <w:p w14:paraId="011AD1CE" w14:textId="5AAA7766" w:rsidR="006F18B1" w:rsidRPr="009D79C7" w:rsidRDefault="006F18B1" w:rsidP="009D79C7">
            <w:pPr>
              <w:pStyle w:val="ListParagraph"/>
              <w:numPr>
                <w:ilvl w:val="0"/>
                <w:numId w:val="4"/>
              </w:numPr>
              <w:spacing w:line="259" w:lineRule="auto"/>
              <w:ind w:left="343"/>
              <w:cnfStyle w:val="000000000000" w:firstRow="0" w:lastRow="0" w:firstColumn="0" w:lastColumn="0" w:oddVBand="0" w:evenVBand="0" w:oddHBand="0" w:evenHBand="0" w:firstRowFirstColumn="0" w:firstRowLastColumn="0" w:lastRowFirstColumn="0" w:lastRowLastColumn="0"/>
              <w:rPr>
                <w:sz w:val="20"/>
                <w:szCs w:val="20"/>
                <w:lang w:val="en-US"/>
              </w:rPr>
            </w:pPr>
            <w:r w:rsidRPr="009D79C7">
              <w:rPr>
                <w:sz w:val="20"/>
                <w:szCs w:val="20"/>
                <w:lang w:val="en-US"/>
              </w:rPr>
              <w:t>Security integrity: The updating and persistence of the observability registry implement tamper-proof mechanisms.</w:t>
            </w:r>
          </w:p>
        </w:tc>
        <w:tc>
          <w:tcPr>
            <w:tcW w:w="2459" w:type="dxa"/>
          </w:tcPr>
          <w:p w14:paraId="5D494DCD" w14:textId="0BC92C53" w:rsidR="264C699D" w:rsidRDefault="00335DE1" w:rsidP="264C699D">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lastRenderedPageBreak/>
              <w:t>1: Assessment: determine that a privileged user can link the records related to the sharing agreement to identifiable participants.</w:t>
            </w:r>
          </w:p>
          <w:p w14:paraId="52845C9B" w14:textId="5B8C1FA4" w:rsidR="7E7CB8DC" w:rsidRDefault="00335DE1" w:rsidP="00BD37C5">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lastRenderedPageBreak/>
              <w:t xml:space="preserve">2: Assessment: determine that none other than a privileged </w:t>
            </w:r>
            <w:proofErr w:type="spellStart"/>
            <w:r>
              <w:rPr>
                <w:sz w:val="20"/>
                <w:szCs w:val="20"/>
                <w:lang w:val="en-US"/>
              </w:rPr>
              <w:t>admistrator</w:t>
            </w:r>
            <w:proofErr w:type="spellEnd"/>
            <w:r>
              <w:rPr>
                <w:sz w:val="20"/>
                <w:szCs w:val="20"/>
                <w:lang w:val="en-US"/>
              </w:rPr>
              <w:t>.</w:t>
            </w:r>
          </w:p>
          <w:p w14:paraId="2961F7B4" w14:textId="72C9AE5B" w:rsidR="7E7CB8DC" w:rsidRDefault="00335DE1" w:rsidP="264C699D">
            <w:pPr>
              <w:spacing w:line="259"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3: Identify who is the </w:t>
            </w:r>
            <w:proofErr w:type="spellStart"/>
            <w:r>
              <w:rPr>
                <w:sz w:val="20"/>
                <w:szCs w:val="20"/>
                <w:lang w:val="en-US"/>
              </w:rPr>
              <w:t>tamperer</w:t>
            </w:r>
            <w:proofErr w:type="spellEnd"/>
            <w:r>
              <w:rPr>
                <w:sz w:val="20"/>
                <w:szCs w:val="20"/>
                <w:lang w:val="en-US"/>
              </w:rPr>
              <w:t xml:space="preserve"> and i</w:t>
            </w:r>
            <w:r w:rsidRPr="00335DE1">
              <w:rPr>
                <w:sz w:val="20"/>
                <w:szCs w:val="20"/>
                <w:lang w:val="en-US"/>
              </w:rPr>
              <w:t>dentify all feasible methods of unauthorized access</w:t>
            </w:r>
            <w:r>
              <w:rPr>
                <w:sz w:val="20"/>
                <w:szCs w:val="20"/>
                <w:lang w:val="en-US"/>
              </w:rPr>
              <w:t>. Check if tamper-evident mechanisms are implemented.</w:t>
            </w:r>
          </w:p>
        </w:tc>
      </w:tr>
    </w:tbl>
    <w:p w14:paraId="0BC2E86D" w14:textId="77777777" w:rsidR="001F5A8D" w:rsidRPr="006F4E96" w:rsidRDefault="001F5A8D" w:rsidP="00BD37C5">
      <w:pPr>
        <w:rPr>
          <w:sz w:val="20"/>
          <w:szCs w:val="20"/>
        </w:rPr>
      </w:pPr>
    </w:p>
    <w:p w14:paraId="4F5B665A" w14:textId="77777777" w:rsidR="001F5A8D" w:rsidRPr="00BD37C5" w:rsidRDefault="001F5A8D" w:rsidP="7E7CB8DC">
      <w:pPr>
        <w:pStyle w:val="Heading3"/>
      </w:pPr>
      <w:bookmarkStart w:id="8" w:name="_Toc1483117239"/>
      <w:r w:rsidRPr="00BD37C5">
        <w:t>Customer journey: Agreement management</w:t>
      </w:r>
      <w:bookmarkEnd w:id="8"/>
    </w:p>
    <w:tbl>
      <w:tblPr>
        <w:tblStyle w:val="PlainTable5"/>
        <w:tblW w:w="9014" w:type="dxa"/>
        <w:tblLook w:val="04A0" w:firstRow="1" w:lastRow="0" w:firstColumn="1" w:lastColumn="0" w:noHBand="0" w:noVBand="1"/>
      </w:tblPr>
      <w:tblGrid>
        <w:gridCol w:w="1452"/>
        <w:gridCol w:w="2800"/>
        <w:gridCol w:w="2381"/>
        <w:gridCol w:w="2381"/>
      </w:tblGrid>
      <w:tr w:rsidR="00335DE1" w:rsidRPr="006F4E96" w14:paraId="75CF1C77" w14:textId="77777777" w:rsidTr="264C699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52" w:type="dxa"/>
          </w:tcPr>
          <w:p w14:paraId="007272DA" w14:textId="77777777" w:rsidR="001F5A8D" w:rsidRPr="006F4E96" w:rsidRDefault="001F5A8D" w:rsidP="7E7CB8DC">
            <w:pPr>
              <w:rPr>
                <w:sz w:val="20"/>
                <w:szCs w:val="20"/>
              </w:rPr>
            </w:pPr>
            <w:r w:rsidRPr="7E7CB8DC">
              <w:rPr>
                <w:sz w:val="20"/>
                <w:szCs w:val="20"/>
              </w:rPr>
              <w:t>Sub-customer journeys</w:t>
            </w:r>
          </w:p>
        </w:tc>
        <w:tc>
          <w:tcPr>
            <w:tcW w:w="2800" w:type="dxa"/>
          </w:tcPr>
          <w:p w14:paraId="41ACB4BE" w14:textId="77777777" w:rsidR="001F5A8D" w:rsidRPr="006F4E96" w:rsidRDefault="001F5A8D" w:rsidP="7E7CB8DC">
            <w:pPr>
              <w:cnfStyle w:val="100000000000" w:firstRow="1" w:lastRow="0" w:firstColumn="0" w:lastColumn="0" w:oddVBand="0" w:evenVBand="0" w:oddHBand="0" w:evenHBand="0" w:firstRowFirstColumn="0" w:firstRowLastColumn="0" w:lastRowFirstColumn="0" w:lastRowLastColumn="0"/>
              <w:rPr>
                <w:sz w:val="20"/>
                <w:szCs w:val="20"/>
              </w:rPr>
            </w:pPr>
            <w:r w:rsidRPr="7E7CB8DC">
              <w:rPr>
                <w:sz w:val="20"/>
                <w:szCs w:val="20"/>
              </w:rPr>
              <w:t>Description</w:t>
            </w:r>
          </w:p>
        </w:tc>
        <w:tc>
          <w:tcPr>
            <w:tcW w:w="2381" w:type="dxa"/>
          </w:tcPr>
          <w:p w14:paraId="199EA290" w14:textId="77777777" w:rsidR="001F5A8D" w:rsidRPr="006F4E96" w:rsidRDefault="001F5A8D" w:rsidP="7E7CB8DC">
            <w:pPr>
              <w:cnfStyle w:val="100000000000" w:firstRow="1" w:lastRow="0" w:firstColumn="0" w:lastColumn="0" w:oddVBand="0" w:evenVBand="0" w:oddHBand="0" w:evenHBand="0" w:firstRowFirstColumn="0" w:firstRowLastColumn="0" w:lastRowFirstColumn="0" w:lastRowLastColumn="0"/>
              <w:rPr>
                <w:sz w:val="20"/>
                <w:szCs w:val="20"/>
              </w:rPr>
            </w:pPr>
            <w:r w:rsidRPr="7E7CB8DC">
              <w:rPr>
                <w:sz w:val="20"/>
                <w:szCs w:val="20"/>
              </w:rPr>
              <w:t>Examples of ISO 25010 Qualities</w:t>
            </w:r>
          </w:p>
        </w:tc>
        <w:tc>
          <w:tcPr>
            <w:tcW w:w="2381" w:type="dxa"/>
          </w:tcPr>
          <w:p w14:paraId="4DCAA354" w14:textId="598B8B16" w:rsidR="04CBA701" w:rsidRDefault="04CBA701" w:rsidP="7E7CB8DC">
            <w:pPr>
              <w:cnfStyle w:val="100000000000" w:firstRow="1" w:lastRow="0" w:firstColumn="0" w:lastColumn="0" w:oddVBand="0" w:evenVBand="0" w:oddHBand="0" w:evenHBand="0" w:firstRowFirstColumn="0" w:firstRowLastColumn="0" w:lastRowFirstColumn="0" w:lastRowLastColumn="0"/>
              <w:rPr>
                <w:sz w:val="20"/>
                <w:szCs w:val="20"/>
              </w:rPr>
            </w:pPr>
            <w:r w:rsidRPr="7E7CB8DC">
              <w:rPr>
                <w:sz w:val="20"/>
                <w:szCs w:val="20"/>
              </w:rPr>
              <w:t>Review/tests</w:t>
            </w:r>
          </w:p>
        </w:tc>
      </w:tr>
      <w:tr w:rsidR="00335DE1" w:rsidRPr="006F4E96" w14:paraId="4AF1D94E" w14:textId="77777777" w:rsidTr="264C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2" w:type="dxa"/>
          </w:tcPr>
          <w:p w14:paraId="2583FD3D" w14:textId="77777777" w:rsidR="002441A9" w:rsidRPr="006F4E96" w:rsidRDefault="043824A7" w:rsidP="7E7CB8DC">
            <w:pPr>
              <w:rPr>
                <w:sz w:val="20"/>
                <w:szCs w:val="20"/>
              </w:rPr>
            </w:pPr>
            <w:r w:rsidRPr="7E7CB8DC">
              <w:rPr>
                <w:sz w:val="20"/>
                <w:szCs w:val="20"/>
              </w:rPr>
              <w:t>Update agreements</w:t>
            </w:r>
          </w:p>
        </w:tc>
        <w:tc>
          <w:tcPr>
            <w:tcW w:w="2800" w:type="dxa"/>
          </w:tcPr>
          <w:p w14:paraId="5396D850" w14:textId="6940C528" w:rsidR="002441A9" w:rsidRPr="006F4E96" w:rsidRDefault="78EA042E" w:rsidP="7E7CB8DC">
            <w:pPr>
              <w:cnfStyle w:val="000000100000" w:firstRow="0" w:lastRow="0" w:firstColumn="0" w:lastColumn="0" w:oddVBand="0" w:evenVBand="0" w:oddHBand="1" w:evenHBand="0" w:firstRowFirstColumn="0" w:firstRowLastColumn="0" w:lastRowFirstColumn="0" w:lastRowLastColumn="0"/>
              <w:rPr>
                <w:sz w:val="20"/>
                <w:szCs w:val="20"/>
              </w:rPr>
            </w:pPr>
            <w:r w:rsidRPr="7E7CB8DC">
              <w:rPr>
                <w:sz w:val="20"/>
                <w:szCs w:val="20"/>
              </w:rPr>
              <w:t>A data sharing agreement is updated for business reasons (renewal, revocation, etc) or because governance, attestations are subject to change. The consumer must be notified of these changes that could lead to re-negotiation.</w:t>
            </w:r>
          </w:p>
        </w:tc>
        <w:tc>
          <w:tcPr>
            <w:tcW w:w="2381" w:type="dxa"/>
          </w:tcPr>
          <w:p w14:paraId="789780E7" w14:textId="3CC6A895" w:rsidR="002441A9" w:rsidRDefault="043824A7" w:rsidP="00335DE1">
            <w:pPr>
              <w:pStyle w:val="ListParagraph"/>
              <w:numPr>
                <w:ilvl w:val="0"/>
                <w:numId w:val="12"/>
              </w:numPr>
              <w:spacing w:line="259" w:lineRule="auto"/>
              <w:ind w:left="337"/>
              <w:cnfStyle w:val="000000100000" w:firstRow="0" w:lastRow="0" w:firstColumn="0" w:lastColumn="0" w:oddVBand="0" w:evenVBand="0" w:oddHBand="1" w:evenHBand="0" w:firstRowFirstColumn="0" w:firstRowLastColumn="0" w:lastRowFirstColumn="0" w:lastRowLastColumn="0"/>
              <w:rPr>
                <w:sz w:val="20"/>
                <w:szCs w:val="20"/>
                <w:lang w:val="en-US"/>
              </w:rPr>
            </w:pPr>
            <w:r w:rsidRPr="264C699D">
              <w:rPr>
                <w:sz w:val="20"/>
                <w:szCs w:val="20"/>
              </w:rPr>
              <w:t xml:space="preserve">Security </w:t>
            </w:r>
            <w:r w:rsidRPr="264C699D">
              <w:rPr>
                <w:sz w:val="20"/>
                <w:szCs w:val="20"/>
                <w:lang w:val="en-US"/>
              </w:rPr>
              <w:t xml:space="preserve">Integrity: </w:t>
            </w:r>
            <w:r w:rsidR="00E1431E">
              <w:rPr>
                <w:sz w:val="20"/>
                <w:szCs w:val="20"/>
                <w:lang w:val="en-US"/>
              </w:rPr>
              <w:t>The update system is secured (AAA), and it is designed to provide tampering detection.</w:t>
            </w:r>
            <w:r w:rsidRPr="264C699D">
              <w:rPr>
                <w:sz w:val="20"/>
                <w:szCs w:val="20"/>
                <w:lang w:val="en-US"/>
              </w:rPr>
              <w:t xml:space="preserve"> </w:t>
            </w:r>
          </w:p>
          <w:p w14:paraId="611A2588" w14:textId="77777777" w:rsidR="00E1431E" w:rsidRPr="00E1431E" w:rsidRDefault="4077FC85" w:rsidP="00335DE1">
            <w:pPr>
              <w:pStyle w:val="ListParagraph"/>
              <w:numPr>
                <w:ilvl w:val="0"/>
                <w:numId w:val="12"/>
              </w:numPr>
              <w:ind w:left="337"/>
              <w:cnfStyle w:val="000000100000" w:firstRow="0" w:lastRow="0" w:firstColumn="0" w:lastColumn="0" w:oddVBand="0" w:evenVBand="0" w:oddHBand="1" w:evenHBand="0" w:firstRowFirstColumn="0" w:firstRowLastColumn="0" w:lastRowFirstColumn="0" w:lastRowLastColumn="0"/>
              <w:rPr>
                <w:sz w:val="20"/>
                <w:szCs w:val="20"/>
              </w:rPr>
            </w:pPr>
            <w:r w:rsidRPr="264C699D">
              <w:rPr>
                <w:sz w:val="20"/>
                <w:szCs w:val="20"/>
                <w:lang w:val="en-US"/>
              </w:rPr>
              <w:t>Functional appropriateness:</w:t>
            </w:r>
            <w:r w:rsidR="00E1431E">
              <w:rPr>
                <w:sz w:val="20"/>
                <w:szCs w:val="20"/>
                <w:lang w:val="en-US"/>
              </w:rPr>
              <w:t xml:space="preserve"> the system implements communication channels to notify participants of required updates.</w:t>
            </w:r>
          </w:p>
          <w:p w14:paraId="00E1576E" w14:textId="03E5441B" w:rsidR="002441A9" w:rsidRPr="00E1431E" w:rsidRDefault="00E1431E" w:rsidP="00335DE1">
            <w:pPr>
              <w:pStyle w:val="ListParagraph"/>
              <w:numPr>
                <w:ilvl w:val="0"/>
                <w:numId w:val="12"/>
              </w:numPr>
              <w:ind w:left="337"/>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Integrity: </w:t>
            </w:r>
            <w:r>
              <w:rPr>
                <w:sz w:val="20"/>
                <w:szCs w:val="20"/>
                <w:lang w:val="en-US"/>
              </w:rPr>
              <w:t>a</w:t>
            </w:r>
            <w:r w:rsidRPr="00E1431E">
              <w:rPr>
                <w:sz w:val="20"/>
                <w:szCs w:val="20"/>
                <w:lang w:val="en-US"/>
              </w:rPr>
              <w:t xml:space="preserve"> change to a </w:t>
            </w:r>
            <w:r>
              <w:rPr>
                <w:sz w:val="20"/>
                <w:szCs w:val="20"/>
                <w:lang w:val="en-US"/>
              </w:rPr>
              <w:t>sharing agreement</w:t>
            </w:r>
            <w:r w:rsidRPr="00E1431E">
              <w:rPr>
                <w:sz w:val="20"/>
                <w:szCs w:val="20"/>
                <w:lang w:val="en-US"/>
              </w:rPr>
              <w:t xml:space="preserve"> lead</w:t>
            </w:r>
            <w:r>
              <w:rPr>
                <w:sz w:val="20"/>
                <w:szCs w:val="20"/>
                <w:lang w:val="en-US"/>
              </w:rPr>
              <w:t>s</w:t>
            </w:r>
            <w:r w:rsidRPr="00E1431E">
              <w:rPr>
                <w:sz w:val="20"/>
                <w:szCs w:val="20"/>
                <w:lang w:val="en-US"/>
              </w:rPr>
              <w:t xml:space="preserve"> to a re-negotiation.</w:t>
            </w:r>
          </w:p>
          <w:p w14:paraId="5CF55605" w14:textId="3AB36B92" w:rsidR="00E1431E" w:rsidRPr="00E1431E" w:rsidRDefault="00E1431E" w:rsidP="00335DE1">
            <w:pPr>
              <w:ind w:left="337"/>
              <w:cnfStyle w:val="000000100000" w:firstRow="0" w:lastRow="0" w:firstColumn="0" w:lastColumn="0" w:oddVBand="0" w:evenVBand="0" w:oddHBand="1" w:evenHBand="0" w:firstRowFirstColumn="0" w:firstRowLastColumn="0" w:lastRowFirstColumn="0" w:lastRowLastColumn="0"/>
              <w:rPr>
                <w:sz w:val="20"/>
                <w:szCs w:val="20"/>
              </w:rPr>
            </w:pPr>
          </w:p>
        </w:tc>
        <w:tc>
          <w:tcPr>
            <w:tcW w:w="2381" w:type="dxa"/>
          </w:tcPr>
          <w:p w14:paraId="3ED45D1B" w14:textId="70826711" w:rsidR="7E7CB8DC" w:rsidRPr="002539F3" w:rsidRDefault="002539F3" w:rsidP="002539F3">
            <w:pPr>
              <w:spacing w:line="259" w:lineRule="auto"/>
              <w:jc w:val="both"/>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1:</w:t>
            </w:r>
            <w:r w:rsidR="00335DE1" w:rsidRPr="002539F3">
              <w:rPr>
                <w:sz w:val="20"/>
                <w:szCs w:val="20"/>
              </w:rPr>
              <w:t>See</w:t>
            </w:r>
            <w:proofErr w:type="gramEnd"/>
            <w:r w:rsidR="00335DE1" w:rsidRPr="002539F3">
              <w:rPr>
                <w:sz w:val="20"/>
                <w:szCs w:val="20"/>
              </w:rPr>
              <w:t xml:space="preserve"> NIST 8</w:t>
            </w:r>
            <w:r w:rsidRPr="002539F3">
              <w:rPr>
                <w:sz w:val="20"/>
                <w:szCs w:val="20"/>
              </w:rPr>
              <w:t>00-53 controls for other tests.</w:t>
            </w:r>
          </w:p>
          <w:p w14:paraId="4B760FA7" w14:textId="037D7C93" w:rsidR="7E7CB8DC" w:rsidRDefault="7E7CB8DC" w:rsidP="00335DE1">
            <w:pPr>
              <w:pStyle w:val="ListParagraph"/>
              <w:spacing w:line="259" w:lineRule="auto"/>
              <w:ind w:left="67" w:firstLine="142"/>
              <w:jc w:val="both"/>
              <w:cnfStyle w:val="000000100000" w:firstRow="0" w:lastRow="0" w:firstColumn="0" w:lastColumn="0" w:oddVBand="0" w:evenVBand="0" w:oddHBand="1" w:evenHBand="0" w:firstRowFirstColumn="0" w:firstRowLastColumn="0" w:lastRowFirstColumn="0" w:lastRowLastColumn="0"/>
              <w:rPr>
                <w:sz w:val="20"/>
                <w:szCs w:val="20"/>
              </w:rPr>
            </w:pPr>
          </w:p>
          <w:p w14:paraId="27F98913" w14:textId="77777777" w:rsidR="7E7CB8DC" w:rsidRDefault="002539F3" w:rsidP="002539F3">
            <w:pPr>
              <w:pStyle w:val="ListParagraph"/>
              <w:spacing w:line="259" w:lineRule="auto"/>
              <w:ind w:left="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w:t>
            </w:r>
            <w:r w:rsidR="0F70043E" w:rsidRPr="264C699D">
              <w:rPr>
                <w:sz w:val="20"/>
                <w:szCs w:val="20"/>
              </w:rPr>
              <w:t xml:space="preserve">Check that the </w:t>
            </w:r>
            <w:r>
              <w:rPr>
                <w:sz w:val="20"/>
                <w:szCs w:val="20"/>
              </w:rPr>
              <w:t>producer</w:t>
            </w:r>
            <w:r w:rsidR="0F70043E" w:rsidRPr="264C699D">
              <w:rPr>
                <w:sz w:val="20"/>
                <w:szCs w:val="20"/>
              </w:rPr>
              <w:t xml:space="preserve"> connector can notify the contact point of the contract on the consumer side about the upcoming contract change</w:t>
            </w:r>
            <w:r>
              <w:rPr>
                <w:sz w:val="20"/>
                <w:szCs w:val="20"/>
              </w:rPr>
              <w:t>.</w:t>
            </w:r>
          </w:p>
          <w:p w14:paraId="2F7CD1EB" w14:textId="1337099A" w:rsidR="002539F3" w:rsidRDefault="002539F3" w:rsidP="002539F3">
            <w:pPr>
              <w:pStyle w:val="ListParagraph"/>
              <w:spacing w:line="259" w:lineRule="auto"/>
              <w:ind w:left="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Verify that changes to a sharing agreement are not allowed or invalidate </w:t>
            </w:r>
            <w:proofErr w:type="gramStart"/>
            <w:r>
              <w:rPr>
                <w:sz w:val="20"/>
                <w:szCs w:val="20"/>
              </w:rPr>
              <w:t>the a</w:t>
            </w:r>
            <w:proofErr w:type="gramEnd"/>
            <w:r>
              <w:rPr>
                <w:sz w:val="20"/>
                <w:szCs w:val="20"/>
              </w:rPr>
              <w:t xml:space="preserve"> </w:t>
            </w:r>
            <w:proofErr w:type="spellStart"/>
            <w:r>
              <w:rPr>
                <w:sz w:val="20"/>
                <w:szCs w:val="20"/>
              </w:rPr>
              <w:t>gremenet</w:t>
            </w:r>
            <w:proofErr w:type="spellEnd"/>
            <w:r>
              <w:rPr>
                <w:sz w:val="20"/>
                <w:szCs w:val="20"/>
              </w:rPr>
              <w:t xml:space="preserve">,  </w:t>
            </w:r>
          </w:p>
        </w:tc>
      </w:tr>
      <w:tr w:rsidR="002441A9" w:rsidRPr="006F4E96" w14:paraId="385C78F9" w14:textId="77777777" w:rsidTr="264C699D">
        <w:trPr>
          <w:trHeight w:val="300"/>
        </w:trPr>
        <w:tc>
          <w:tcPr>
            <w:cnfStyle w:val="001000000000" w:firstRow="0" w:lastRow="0" w:firstColumn="1" w:lastColumn="0" w:oddVBand="0" w:evenVBand="0" w:oddHBand="0" w:evenHBand="0" w:firstRowFirstColumn="0" w:firstRowLastColumn="0" w:lastRowFirstColumn="0" w:lastRowLastColumn="0"/>
            <w:tcW w:w="1452" w:type="dxa"/>
          </w:tcPr>
          <w:p w14:paraId="3B2A56DC" w14:textId="77777777" w:rsidR="002441A9" w:rsidRPr="006F4E96" w:rsidRDefault="043824A7" w:rsidP="7E7CB8DC">
            <w:pPr>
              <w:rPr>
                <w:sz w:val="20"/>
                <w:szCs w:val="20"/>
              </w:rPr>
            </w:pPr>
            <w:r w:rsidRPr="7E7CB8DC">
              <w:rPr>
                <w:sz w:val="20"/>
                <w:szCs w:val="20"/>
              </w:rPr>
              <w:t>Rating billing</w:t>
            </w:r>
          </w:p>
        </w:tc>
        <w:tc>
          <w:tcPr>
            <w:tcW w:w="2800" w:type="dxa"/>
          </w:tcPr>
          <w:p w14:paraId="6253015F" w14:textId="77777777" w:rsidR="002441A9" w:rsidRPr="006F4E96" w:rsidRDefault="043824A7" w:rsidP="7E7CB8DC">
            <w:pPr>
              <w:cnfStyle w:val="000000000000" w:firstRow="0" w:lastRow="0" w:firstColumn="0" w:lastColumn="0" w:oddVBand="0" w:evenVBand="0" w:oddHBand="0" w:evenHBand="0" w:firstRowFirstColumn="0" w:firstRowLastColumn="0" w:lastRowFirstColumn="0" w:lastRowLastColumn="0"/>
              <w:rPr>
                <w:sz w:val="20"/>
                <w:szCs w:val="20"/>
              </w:rPr>
            </w:pPr>
            <w:r w:rsidRPr="7E7CB8DC">
              <w:rPr>
                <w:sz w:val="20"/>
                <w:szCs w:val="20"/>
              </w:rPr>
              <w:t>Rating and billing are constantly updated following the value-exchange model that characterizes the data product offering. As above, a feedback loop must inform the consumer of relevant updates.</w:t>
            </w:r>
          </w:p>
        </w:tc>
        <w:tc>
          <w:tcPr>
            <w:tcW w:w="2381" w:type="dxa"/>
          </w:tcPr>
          <w:p w14:paraId="0098C95E" w14:textId="12CD5BE1" w:rsidR="00E1431E" w:rsidRPr="00E1431E" w:rsidRDefault="00E1431E" w:rsidP="00E1431E">
            <w:pPr>
              <w:pStyle w:val="ListParagraph"/>
              <w:numPr>
                <w:ilvl w:val="0"/>
                <w:numId w:val="2"/>
              </w:numPr>
              <w:spacing w:line="259" w:lineRule="auto"/>
              <w:ind w:left="354"/>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Functional appropriateness: The system provides a rating/billing management interface</w:t>
            </w:r>
            <w:r w:rsidRPr="00E1431E">
              <w:rPr>
                <w:sz w:val="20"/>
                <w:szCs w:val="20"/>
              </w:rPr>
              <w:t>.</w:t>
            </w:r>
          </w:p>
          <w:p w14:paraId="2562F905" w14:textId="6D6920D1" w:rsidR="00E1431E" w:rsidRPr="00E1431E" w:rsidRDefault="00E1431E" w:rsidP="00E1431E">
            <w:pPr>
              <w:pStyle w:val="ListParagraph"/>
              <w:numPr>
                <w:ilvl w:val="0"/>
                <w:numId w:val="2"/>
              </w:numPr>
              <w:spacing w:line="259" w:lineRule="auto"/>
              <w:ind w:left="354"/>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Modifiability: The system allows a data producer to define the rating model, tiering and conditional rating parameters. </w:t>
            </w:r>
          </w:p>
          <w:p w14:paraId="3917C9EC" w14:textId="357E88FD" w:rsidR="002441A9" w:rsidRDefault="00E1431E" w:rsidP="7E7CB8DC">
            <w:pPr>
              <w:pStyle w:val="ListParagraph"/>
              <w:numPr>
                <w:ilvl w:val="0"/>
                <w:numId w:val="2"/>
              </w:numPr>
              <w:spacing w:line="259" w:lineRule="auto"/>
              <w:ind w:left="354"/>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Functional </w:t>
            </w:r>
            <w:r w:rsidR="043824A7" w:rsidRPr="264C699D">
              <w:rPr>
                <w:sz w:val="20"/>
                <w:szCs w:val="20"/>
              </w:rPr>
              <w:t xml:space="preserve">Security </w:t>
            </w:r>
            <w:r w:rsidR="043824A7" w:rsidRPr="264C699D">
              <w:rPr>
                <w:sz w:val="20"/>
                <w:szCs w:val="20"/>
                <w:lang w:val="en-US"/>
              </w:rPr>
              <w:t>Integrity</w:t>
            </w:r>
            <w:r w:rsidR="59163CF5" w:rsidRPr="264C699D">
              <w:rPr>
                <w:sz w:val="20"/>
                <w:szCs w:val="20"/>
                <w:lang w:val="en-US"/>
              </w:rPr>
              <w:t xml:space="preserve">: </w:t>
            </w:r>
            <w:r>
              <w:rPr>
                <w:sz w:val="20"/>
                <w:szCs w:val="20"/>
                <w:lang w:val="en-US"/>
              </w:rPr>
              <w:t xml:space="preserve">The system secures the management interface for </w:t>
            </w:r>
            <w:r w:rsidR="40354C05" w:rsidRPr="264C699D">
              <w:rPr>
                <w:sz w:val="20"/>
                <w:szCs w:val="20"/>
                <w:lang w:val="en-US"/>
              </w:rPr>
              <w:t>rating and billing</w:t>
            </w:r>
            <w:r>
              <w:rPr>
                <w:sz w:val="20"/>
                <w:szCs w:val="20"/>
                <w:lang w:val="en-US"/>
              </w:rPr>
              <w:t>.</w:t>
            </w:r>
          </w:p>
          <w:p w14:paraId="25689658" w14:textId="661FAE27" w:rsidR="002441A9" w:rsidRPr="00E1431E" w:rsidRDefault="043824A7" w:rsidP="00E1431E">
            <w:pPr>
              <w:pStyle w:val="ListParagraph"/>
              <w:numPr>
                <w:ilvl w:val="0"/>
                <w:numId w:val="2"/>
              </w:numPr>
              <w:spacing w:line="259" w:lineRule="auto"/>
              <w:ind w:left="354"/>
              <w:cnfStyle w:val="000000000000" w:firstRow="0" w:lastRow="0" w:firstColumn="0" w:lastColumn="0" w:oddVBand="0" w:evenVBand="0" w:oddHBand="0" w:evenHBand="0" w:firstRowFirstColumn="0" w:firstRowLastColumn="0" w:lastRowFirstColumn="0" w:lastRowLastColumn="0"/>
              <w:rPr>
                <w:sz w:val="20"/>
                <w:szCs w:val="20"/>
                <w:lang w:val="en-US"/>
              </w:rPr>
            </w:pPr>
            <w:r w:rsidRPr="264C699D">
              <w:rPr>
                <w:sz w:val="20"/>
                <w:szCs w:val="20"/>
                <w:lang w:val="en-US"/>
              </w:rPr>
              <w:lastRenderedPageBreak/>
              <w:t>Functional appropriateness:</w:t>
            </w:r>
            <w:r w:rsidR="00E1431E">
              <w:rPr>
                <w:sz w:val="20"/>
                <w:szCs w:val="20"/>
                <w:lang w:val="en-US"/>
              </w:rPr>
              <w:t xml:space="preserve"> The system notifies every data consumer that rating is activated, or rating params are changed.</w:t>
            </w:r>
          </w:p>
        </w:tc>
        <w:tc>
          <w:tcPr>
            <w:tcW w:w="2381" w:type="dxa"/>
          </w:tcPr>
          <w:p w14:paraId="1D5744C3" w14:textId="611C93AB" w:rsidR="7E7CB8DC" w:rsidRDefault="002539F3" w:rsidP="002539F3">
            <w:pPr>
              <w:spacing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D82E73">
              <w:rPr>
                <w:b/>
                <w:bCs/>
                <w:sz w:val="20"/>
                <w:szCs w:val="20"/>
              </w:rPr>
              <w:lastRenderedPageBreak/>
              <w:t>Assessment: verify the existence of a rating and billing capability</w:t>
            </w:r>
            <w:r>
              <w:rPr>
                <w:sz w:val="20"/>
                <w:szCs w:val="20"/>
              </w:rPr>
              <w:t>.</w:t>
            </w:r>
          </w:p>
        </w:tc>
      </w:tr>
      <w:tr w:rsidR="00335DE1" w:rsidRPr="006F4E96" w14:paraId="077CE4A3" w14:textId="77777777" w:rsidTr="264C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52" w:type="dxa"/>
          </w:tcPr>
          <w:p w14:paraId="4E99BB7A" w14:textId="77777777" w:rsidR="002441A9" w:rsidRPr="00B64F9A" w:rsidRDefault="043824A7" w:rsidP="7E7CB8DC">
            <w:pPr>
              <w:rPr>
                <w:strike/>
                <w:sz w:val="20"/>
                <w:szCs w:val="20"/>
              </w:rPr>
            </w:pPr>
            <w:r w:rsidRPr="00B64F9A">
              <w:rPr>
                <w:strike/>
                <w:sz w:val="20"/>
                <w:szCs w:val="20"/>
              </w:rPr>
              <w:t>Update observability registry (as above)</w:t>
            </w:r>
          </w:p>
        </w:tc>
        <w:tc>
          <w:tcPr>
            <w:tcW w:w="2800" w:type="dxa"/>
          </w:tcPr>
          <w:p w14:paraId="7ABA1B0C" w14:textId="77777777" w:rsidR="002441A9" w:rsidRPr="00B64F9A" w:rsidRDefault="043824A7" w:rsidP="7E7CB8DC">
            <w:pPr>
              <w:cnfStyle w:val="000000100000" w:firstRow="0" w:lastRow="0" w:firstColumn="0" w:lastColumn="0" w:oddVBand="0" w:evenVBand="0" w:oddHBand="1" w:evenHBand="0" w:firstRowFirstColumn="0" w:firstRowLastColumn="0" w:lastRowFirstColumn="0" w:lastRowLastColumn="0"/>
              <w:rPr>
                <w:strike/>
                <w:sz w:val="20"/>
                <w:szCs w:val="20"/>
              </w:rPr>
            </w:pPr>
            <w:r w:rsidRPr="00B64F9A">
              <w:rPr>
                <w:strike/>
                <w:sz w:val="20"/>
                <w:szCs w:val="20"/>
              </w:rPr>
              <w:t>Same as in Negotiation customer journey.</w:t>
            </w:r>
          </w:p>
        </w:tc>
        <w:tc>
          <w:tcPr>
            <w:tcW w:w="2381" w:type="dxa"/>
          </w:tcPr>
          <w:p w14:paraId="16F97979" w14:textId="77777777" w:rsidR="002441A9" w:rsidRPr="00B64F9A" w:rsidRDefault="043824A7" w:rsidP="7E7CB8DC">
            <w:pPr>
              <w:pStyle w:val="ListParagraph"/>
              <w:numPr>
                <w:ilvl w:val="0"/>
                <w:numId w:val="2"/>
              </w:numPr>
              <w:ind w:left="354"/>
              <w:cnfStyle w:val="000000100000" w:firstRow="0" w:lastRow="0" w:firstColumn="0" w:lastColumn="0" w:oddVBand="0" w:evenVBand="0" w:oddHBand="1" w:evenHBand="0" w:firstRowFirstColumn="0" w:firstRowLastColumn="0" w:lastRowFirstColumn="0" w:lastRowLastColumn="0"/>
              <w:rPr>
                <w:strike/>
                <w:sz w:val="20"/>
                <w:szCs w:val="20"/>
                <w:lang w:val="en-US"/>
              </w:rPr>
            </w:pPr>
            <w:r w:rsidRPr="00B64F9A">
              <w:rPr>
                <w:strike/>
                <w:sz w:val="20"/>
                <w:szCs w:val="20"/>
                <w:lang w:val="en-US"/>
              </w:rPr>
              <w:t>Same KPI as in Negotiation customer journey.</w:t>
            </w:r>
          </w:p>
          <w:p w14:paraId="50AC927F" w14:textId="16D127FD" w:rsidR="002441A9" w:rsidRPr="00B64F9A" w:rsidRDefault="002441A9" w:rsidP="7E7CB8DC">
            <w:pPr>
              <w:pStyle w:val="ListParagraph"/>
              <w:numPr>
                <w:ilvl w:val="0"/>
                <w:numId w:val="2"/>
              </w:numPr>
              <w:ind w:left="354"/>
              <w:cnfStyle w:val="000000100000" w:firstRow="0" w:lastRow="0" w:firstColumn="0" w:lastColumn="0" w:oddVBand="0" w:evenVBand="0" w:oddHBand="1" w:evenHBand="0" w:firstRowFirstColumn="0" w:firstRowLastColumn="0" w:lastRowFirstColumn="0" w:lastRowLastColumn="0"/>
              <w:rPr>
                <w:strike/>
                <w:sz w:val="20"/>
                <w:szCs w:val="20"/>
              </w:rPr>
            </w:pPr>
          </w:p>
        </w:tc>
        <w:tc>
          <w:tcPr>
            <w:tcW w:w="2381" w:type="dxa"/>
          </w:tcPr>
          <w:p w14:paraId="1FC26795" w14:textId="4BEE90C8" w:rsidR="7E7CB8DC" w:rsidRPr="00B64F9A" w:rsidRDefault="7E7CB8DC" w:rsidP="00BD37C5">
            <w:pPr>
              <w:pStyle w:val="ListParagraph"/>
              <w:cnfStyle w:val="000000100000" w:firstRow="0" w:lastRow="0" w:firstColumn="0" w:lastColumn="0" w:oddVBand="0" w:evenVBand="0" w:oddHBand="1" w:evenHBand="0" w:firstRowFirstColumn="0" w:firstRowLastColumn="0" w:lastRowFirstColumn="0" w:lastRowLastColumn="0"/>
              <w:rPr>
                <w:strike/>
                <w:sz w:val="20"/>
                <w:szCs w:val="20"/>
                <w:lang w:val="en-US"/>
              </w:rPr>
            </w:pPr>
          </w:p>
        </w:tc>
      </w:tr>
    </w:tbl>
    <w:p w14:paraId="5D5BF42A" w14:textId="77777777" w:rsidR="001F5A8D" w:rsidRPr="006F4E96" w:rsidRDefault="001F5A8D" w:rsidP="7E7CB8DC">
      <w:pPr>
        <w:rPr>
          <w:sz w:val="20"/>
          <w:szCs w:val="20"/>
        </w:rPr>
      </w:pPr>
    </w:p>
    <w:p w14:paraId="761DB6A8" w14:textId="77777777" w:rsidR="003A4AC2" w:rsidRDefault="003A4AC2" w:rsidP="7E7CB8DC">
      <w:pPr>
        <w:rPr>
          <w:sz w:val="20"/>
          <w:szCs w:val="20"/>
        </w:rPr>
      </w:pPr>
    </w:p>
    <w:sectPr w:rsidR="003A4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B8F"/>
    <w:multiLevelType w:val="hybridMultilevel"/>
    <w:tmpl w:val="4AEA8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5A4F48"/>
    <w:multiLevelType w:val="hybridMultilevel"/>
    <w:tmpl w:val="99247DB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876645"/>
    <w:multiLevelType w:val="hybridMultilevel"/>
    <w:tmpl w:val="779C0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03B6F"/>
    <w:multiLevelType w:val="hybridMultilevel"/>
    <w:tmpl w:val="8A5C5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DF8F83"/>
    <w:multiLevelType w:val="hybridMultilevel"/>
    <w:tmpl w:val="352C2B94"/>
    <w:lvl w:ilvl="0" w:tplc="23283CB0">
      <w:start w:val="1"/>
      <w:numFmt w:val="bullet"/>
      <w:lvlText w:val=""/>
      <w:lvlJc w:val="left"/>
      <w:pPr>
        <w:ind w:left="720" w:hanging="360"/>
      </w:pPr>
      <w:rPr>
        <w:rFonts w:ascii="Symbol" w:hAnsi="Symbol" w:hint="default"/>
      </w:rPr>
    </w:lvl>
    <w:lvl w:ilvl="1" w:tplc="7548AF8E">
      <w:start w:val="1"/>
      <w:numFmt w:val="bullet"/>
      <w:lvlText w:val="o"/>
      <w:lvlJc w:val="left"/>
      <w:pPr>
        <w:ind w:left="1440" w:hanging="360"/>
      </w:pPr>
      <w:rPr>
        <w:rFonts w:ascii="Courier New" w:hAnsi="Courier New" w:hint="default"/>
      </w:rPr>
    </w:lvl>
    <w:lvl w:ilvl="2" w:tplc="6C5A22C6">
      <w:start w:val="1"/>
      <w:numFmt w:val="bullet"/>
      <w:lvlText w:val=""/>
      <w:lvlJc w:val="left"/>
      <w:pPr>
        <w:ind w:left="2160" w:hanging="360"/>
      </w:pPr>
      <w:rPr>
        <w:rFonts w:ascii="Wingdings" w:hAnsi="Wingdings" w:hint="default"/>
      </w:rPr>
    </w:lvl>
    <w:lvl w:ilvl="3" w:tplc="7C821C7E">
      <w:start w:val="1"/>
      <w:numFmt w:val="bullet"/>
      <w:lvlText w:val=""/>
      <w:lvlJc w:val="left"/>
      <w:pPr>
        <w:ind w:left="2880" w:hanging="360"/>
      </w:pPr>
      <w:rPr>
        <w:rFonts w:ascii="Symbol" w:hAnsi="Symbol" w:hint="default"/>
      </w:rPr>
    </w:lvl>
    <w:lvl w:ilvl="4" w:tplc="96EEC006">
      <w:start w:val="1"/>
      <w:numFmt w:val="bullet"/>
      <w:lvlText w:val="o"/>
      <w:lvlJc w:val="left"/>
      <w:pPr>
        <w:ind w:left="3600" w:hanging="360"/>
      </w:pPr>
      <w:rPr>
        <w:rFonts w:ascii="Courier New" w:hAnsi="Courier New" w:hint="default"/>
      </w:rPr>
    </w:lvl>
    <w:lvl w:ilvl="5" w:tplc="44EEE856">
      <w:start w:val="1"/>
      <w:numFmt w:val="bullet"/>
      <w:lvlText w:val=""/>
      <w:lvlJc w:val="left"/>
      <w:pPr>
        <w:ind w:left="4320" w:hanging="360"/>
      </w:pPr>
      <w:rPr>
        <w:rFonts w:ascii="Wingdings" w:hAnsi="Wingdings" w:hint="default"/>
      </w:rPr>
    </w:lvl>
    <w:lvl w:ilvl="6" w:tplc="E934F922">
      <w:start w:val="1"/>
      <w:numFmt w:val="bullet"/>
      <w:lvlText w:val=""/>
      <w:lvlJc w:val="left"/>
      <w:pPr>
        <w:ind w:left="5040" w:hanging="360"/>
      </w:pPr>
      <w:rPr>
        <w:rFonts w:ascii="Symbol" w:hAnsi="Symbol" w:hint="default"/>
      </w:rPr>
    </w:lvl>
    <w:lvl w:ilvl="7" w:tplc="1E4EF4E0">
      <w:start w:val="1"/>
      <w:numFmt w:val="bullet"/>
      <w:lvlText w:val="o"/>
      <w:lvlJc w:val="left"/>
      <w:pPr>
        <w:ind w:left="5760" w:hanging="360"/>
      </w:pPr>
      <w:rPr>
        <w:rFonts w:ascii="Courier New" w:hAnsi="Courier New" w:hint="default"/>
      </w:rPr>
    </w:lvl>
    <w:lvl w:ilvl="8" w:tplc="E684DFEA">
      <w:start w:val="1"/>
      <w:numFmt w:val="bullet"/>
      <w:lvlText w:val=""/>
      <w:lvlJc w:val="left"/>
      <w:pPr>
        <w:ind w:left="6480" w:hanging="360"/>
      </w:pPr>
      <w:rPr>
        <w:rFonts w:ascii="Wingdings" w:hAnsi="Wingdings" w:hint="default"/>
      </w:rPr>
    </w:lvl>
  </w:abstractNum>
  <w:abstractNum w:abstractNumId="5" w15:restartNumberingAfterBreak="0">
    <w:nsid w:val="2ED25A68"/>
    <w:multiLevelType w:val="hybridMultilevel"/>
    <w:tmpl w:val="2ABC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D55D78"/>
    <w:multiLevelType w:val="hybridMultilevel"/>
    <w:tmpl w:val="29144C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03136B"/>
    <w:multiLevelType w:val="hybridMultilevel"/>
    <w:tmpl w:val="2FEC0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2B3347"/>
    <w:multiLevelType w:val="multilevel"/>
    <w:tmpl w:val="C84A586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EB042F3"/>
    <w:multiLevelType w:val="hybridMultilevel"/>
    <w:tmpl w:val="49362000"/>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144F60"/>
    <w:multiLevelType w:val="hybridMultilevel"/>
    <w:tmpl w:val="C84A5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83354B"/>
    <w:multiLevelType w:val="hybridMultilevel"/>
    <w:tmpl w:val="96A6DC0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69785788">
    <w:abstractNumId w:val="4"/>
  </w:num>
  <w:num w:numId="2" w16cid:durableId="1237472894">
    <w:abstractNumId w:val="9"/>
  </w:num>
  <w:num w:numId="3" w16cid:durableId="1486553956">
    <w:abstractNumId w:val="6"/>
  </w:num>
  <w:num w:numId="4" w16cid:durableId="1900362710">
    <w:abstractNumId w:val="7"/>
  </w:num>
  <w:num w:numId="5" w16cid:durableId="1672562481">
    <w:abstractNumId w:val="10"/>
  </w:num>
  <w:num w:numId="6" w16cid:durableId="2079205608">
    <w:abstractNumId w:val="3"/>
  </w:num>
  <w:num w:numId="7" w16cid:durableId="1355612720">
    <w:abstractNumId w:val="2"/>
  </w:num>
  <w:num w:numId="8" w16cid:durableId="1330989089">
    <w:abstractNumId w:val="1"/>
  </w:num>
  <w:num w:numId="9" w16cid:durableId="341780836">
    <w:abstractNumId w:val="5"/>
  </w:num>
  <w:num w:numId="10" w16cid:durableId="1646397069">
    <w:abstractNumId w:val="8"/>
  </w:num>
  <w:num w:numId="11" w16cid:durableId="987634521">
    <w:abstractNumId w:val="11"/>
  </w:num>
  <w:num w:numId="12" w16cid:durableId="704258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8D"/>
    <w:rsid w:val="001F5A8D"/>
    <w:rsid w:val="002441A9"/>
    <w:rsid w:val="002539F3"/>
    <w:rsid w:val="0032208A"/>
    <w:rsid w:val="00335DE1"/>
    <w:rsid w:val="00347CA4"/>
    <w:rsid w:val="003543D1"/>
    <w:rsid w:val="003A05BB"/>
    <w:rsid w:val="003A4AC2"/>
    <w:rsid w:val="00433660"/>
    <w:rsid w:val="00486AAF"/>
    <w:rsid w:val="00494FA0"/>
    <w:rsid w:val="00499739"/>
    <w:rsid w:val="004F0DD9"/>
    <w:rsid w:val="005148B4"/>
    <w:rsid w:val="0056381E"/>
    <w:rsid w:val="00665397"/>
    <w:rsid w:val="006F18B1"/>
    <w:rsid w:val="00746D23"/>
    <w:rsid w:val="007901F1"/>
    <w:rsid w:val="00906B6E"/>
    <w:rsid w:val="00985556"/>
    <w:rsid w:val="009C4CC6"/>
    <w:rsid w:val="009D2A73"/>
    <w:rsid w:val="009D79C7"/>
    <w:rsid w:val="00A3286D"/>
    <w:rsid w:val="00AD725F"/>
    <w:rsid w:val="00B104D3"/>
    <w:rsid w:val="00B64F9A"/>
    <w:rsid w:val="00B971AC"/>
    <w:rsid w:val="00BD37C5"/>
    <w:rsid w:val="00C10A21"/>
    <w:rsid w:val="00C618F6"/>
    <w:rsid w:val="00CB5EE2"/>
    <w:rsid w:val="00D02165"/>
    <w:rsid w:val="00D44A12"/>
    <w:rsid w:val="00D82E73"/>
    <w:rsid w:val="00D94683"/>
    <w:rsid w:val="00DA5B3B"/>
    <w:rsid w:val="00E0074A"/>
    <w:rsid w:val="00E1431E"/>
    <w:rsid w:val="00E6618F"/>
    <w:rsid w:val="00EA7945"/>
    <w:rsid w:val="00EB4F66"/>
    <w:rsid w:val="00F170E9"/>
    <w:rsid w:val="00F65E89"/>
    <w:rsid w:val="00FA4456"/>
    <w:rsid w:val="00FF587A"/>
    <w:rsid w:val="0155B45B"/>
    <w:rsid w:val="0181085B"/>
    <w:rsid w:val="01D1A64F"/>
    <w:rsid w:val="01E5C1EE"/>
    <w:rsid w:val="027719AC"/>
    <w:rsid w:val="02C22A55"/>
    <w:rsid w:val="02FB2908"/>
    <w:rsid w:val="043824A7"/>
    <w:rsid w:val="04C06367"/>
    <w:rsid w:val="04C59F4E"/>
    <w:rsid w:val="04CBA701"/>
    <w:rsid w:val="053A830D"/>
    <w:rsid w:val="05F053F6"/>
    <w:rsid w:val="0687A2EA"/>
    <w:rsid w:val="06F762E0"/>
    <w:rsid w:val="0718EB88"/>
    <w:rsid w:val="07D22940"/>
    <w:rsid w:val="08705AAE"/>
    <w:rsid w:val="09A3C356"/>
    <w:rsid w:val="09C3523C"/>
    <w:rsid w:val="0AE8599E"/>
    <w:rsid w:val="0D0E1351"/>
    <w:rsid w:val="0D1159AF"/>
    <w:rsid w:val="0D2ACDDC"/>
    <w:rsid w:val="0E0F9A53"/>
    <w:rsid w:val="0EFB49B7"/>
    <w:rsid w:val="0F70043E"/>
    <w:rsid w:val="10EF35A1"/>
    <w:rsid w:val="124D341C"/>
    <w:rsid w:val="12B7D199"/>
    <w:rsid w:val="13B8CC39"/>
    <w:rsid w:val="1498B07F"/>
    <w:rsid w:val="153DF349"/>
    <w:rsid w:val="156E6B14"/>
    <w:rsid w:val="16EB4063"/>
    <w:rsid w:val="177D1939"/>
    <w:rsid w:val="18524C11"/>
    <w:rsid w:val="1959C183"/>
    <w:rsid w:val="197F85C7"/>
    <w:rsid w:val="19FB3E6B"/>
    <w:rsid w:val="1ABFDB6F"/>
    <w:rsid w:val="1B0A837D"/>
    <w:rsid w:val="1D91040E"/>
    <w:rsid w:val="1DDE6823"/>
    <w:rsid w:val="1E4E70F3"/>
    <w:rsid w:val="1EB6FE72"/>
    <w:rsid w:val="20910587"/>
    <w:rsid w:val="21ECCFFB"/>
    <w:rsid w:val="24275DCC"/>
    <w:rsid w:val="25243CAB"/>
    <w:rsid w:val="25F2643B"/>
    <w:rsid w:val="264C699D"/>
    <w:rsid w:val="2656DC48"/>
    <w:rsid w:val="272E51D2"/>
    <w:rsid w:val="28388BBB"/>
    <w:rsid w:val="2844AD61"/>
    <w:rsid w:val="285A3253"/>
    <w:rsid w:val="28839BA2"/>
    <w:rsid w:val="29087BF6"/>
    <w:rsid w:val="295CAC14"/>
    <w:rsid w:val="29F00BA0"/>
    <w:rsid w:val="2A15F7C0"/>
    <w:rsid w:val="2A489349"/>
    <w:rsid w:val="2ABC62CD"/>
    <w:rsid w:val="2B87AFAB"/>
    <w:rsid w:val="2B9296C1"/>
    <w:rsid w:val="2D025497"/>
    <w:rsid w:val="2D5ADEC7"/>
    <w:rsid w:val="2DBD5A57"/>
    <w:rsid w:val="3063C086"/>
    <w:rsid w:val="30A8F559"/>
    <w:rsid w:val="31FD5CEC"/>
    <w:rsid w:val="336BDC6E"/>
    <w:rsid w:val="3375DAAB"/>
    <w:rsid w:val="352E0788"/>
    <w:rsid w:val="35A5BAB3"/>
    <w:rsid w:val="35D010D6"/>
    <w:rsid w:val="361868AD"/>
    <w:rsid w:val="37E033DD"/>
    <w:rsid w:val="396BE226"/>
    <w:rsid w:val="39C47515"/>
    <w:rsid w:val="3A491983"/>
    <w:rsid w:val="3A4C3A38"/>
    <w:rsid w:val="3A81B4FF"/>
    <w:rsid w:val="3B0D4BA4"/>
    <w:rsid w:val="3B4C18AE"/>
    <w:rsid w:val="3B6E429D"/>
    <w:rsid w:val="3BB3C59F"/>
    <w:rsid w:val="3BFC9BBA"/>
    <w:rsid w:val="3CED86E0"/>
    <w:rsid w:val="3E5D6AB6"/>
    <w:rsid w:val="3E980F46"/>
    <w:rsid w:val="3EFDA408"/>
    <w:rsid w:val="3F79926D"/>
    <w:rsid w:val="40354C05"/>
    <w:rsid w:val="4077FC85"/>
    <w:rsid w:val="4084BE62"/>
    <w:rsid w:val="41318F24"/>
    <w:rsid w:val="41646F6B"/>
    <w:rsid w:val="41982A43"/>
    <w:rsid w:val="419E95BC"/>
    <w:rsid w:val="42B70404"/>
    <w:rsid w:val="43789BD0"/>
    <w:rsid w:val="43D60374"/>
    <w:rsid w:val="444EDF60"/>
    <w:rsid w:val="4580B252"/>
    <w:rsid w:val="459C559F"/>
    <w:rsid w:val="45CD37BA"/>
    <w:rsid w:val="45D2FB97"/>
    <w:rsid w:val="463FCB55"/>
    <w:rsid w:val="47733175"/>
    <w:rsid w:val="4808BD56"/>
    <w:rsid w:val="494E7A54"/>
    <w:rsid w:val="49C74E68"/>
    <w:rsid w:val="4A464A92"/>
    <w:rsid w:val="4C506C5E"/>
    <w:rsid w:val="4D712A8E"/>
    <w:rsid w:val="4D91D859"/>
    <w:rsid w:val="4DAF511A"/>
    <w:rsid w:val="4E0693CE"/>
    <w:rsid w:val="52EA9961"/>
    <w:rsid w:val="5439F392"/>
    <w:rsid w:val="548AA6DF"/>
    <w:rsid w:val="5510F45D"/>
    <w:rsid w:val="551324B6"/>
    <w:rsid w:val="565B2E19"/>
    <w:rsid w:val="567F3B81"/>
    <w:rsid w:val="56C5F614"/>
    <w:rsid w:val="57D39F64"/>
    <w:rsid w:val="591154F3"/>
    <w:rsid w:val="59163CF5"/>
    <w:rsid w:val="59B86590"/>
    <w:rsid w:val="59D2B01F"/>
    <w:rsid w:val="5A2CE8D3"/>
    <w:rsid w:val="5B21911A"/>
    <w:rsid w:val="5E1DBC48"/>
    <w:rsid w:val="5E30B308"/>
    <w:rsid w:val="5EE32030"/>
    <w:rsid w:val="6069B0E9"/>
    <w:rsid w:val="631D5176"/>
    <w:rsid w:val="6615F76C"/>
    <w:rsid w:val="66578510"/>
    <w:rsid w:val="66A26FA5"/>
    <w:rsid w:val="699DF3B5"/>
    <w:rsid w:val="6B47AAEB"/>
    <w:rsid w:val="6BAE09E2"/>
    <w:rsid w:val="6E60B863"/>
    <w:rsid w:val="6E64F094"/>
    <w:rsid w:val="6E830E49"/>
    <w:rsid w:val="6EB55E28"/>
    <w:rsid w:val="6F27A305"/>
    <w:rsid w:val="6F3B84D0"/>
    <w:rsid w:val="6F488FEF"/>
    <w:rsid w:val="700A50CE"/>
    <w:rsid w:val="70C37366"/>
    <w:rsid w:val="70EAD9CD"/>
    <w:rsid w:val="7240271D"/>
    <w:rsid w:val="725F43C7"/>
    <w:rsid w:val="72D9389D"/>
    <w:rsid w:val="73307786"/>
    <w:rsid w:val="73CBF7E8"/>
    <w:rsid w:val="756508A2"/>
    <w:rsid w:val="76598B83"/>
    <w:rsid w:val="76F88E83"/>
    <w:rsid w:val="7773837B"/>
    <w:rsid w:val="780561FA"/>
    <w:rsid w:val="78806705"/>
    <w:rsid w:val="78D65B17"/>
    <w:rsid w:val="78EA042E"/>
    <w:rsid w:val="79307521"/>
    <w:rsid w:val="79913F79"/>
    <w:rsid w:val="79B9ABBE"/>
    <w:rsid w:val="79F39B4F"/>
    <w:rsid w:val="7BEEC31D"/>
    <w:rsid w:val="7D69CF24"/>
    <w:rsid w:val="7D89BE7C"/>
    <w:rsid w:val="7E0C6D62"/>
    <w:rsid w:val="7E74CB5D"/>
    <w:rsid w:val="7E7CB8DC"/>
    <w:rsid w:val="7FAFD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8F1B"/>
  <w15:chartTrackingRefBased/>
  <w15:docId w15:val="{904DA746-DE4E-6240-B675-207DBEBE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A8D"/>
    <w:rPr>
      <w:lang w:val="en-GB"/>
    </w:rPr>
  </w:style>
  <w:style w:type="paragraph" w:styleId="Heading1">
    <w:name w:val="heading 1"/>
    <w:basedOn w:val="Normal"/>
    <w:next w:val="Normal"/>
    <w:link w:val="Heading1Char"/>
    <w:uiPriority w:val="9"/>
    <w:qFormat/>
    <w:rsid w:val="001F5A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5A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5A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A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A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A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A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A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A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A8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1F5A8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1F5A8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F5A8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F5A8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F5A8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F5A8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F5A8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F5A8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F5A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A8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F5A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A8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F5A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5A8D"/>
    <w:rPr>
      <w:i/>
      <w:iCs/>
      <w:color w:val="404040" w:themeColor="text1" w:themeTint="BF"/>
      <w:lang w:val="en-GB"/>
    </w:rPr>
  </w:style>
  <w:style w:type="paragraph" w:styleId="ListParagraph">
    <w:name w:val="List Paragraph"/>
    <w:basedOn w:val="Normal"/>
    <w:uiPriority w:val="34"/>
    <w:qFormat/>
    <w:rsid w:val="001F5A8D"/>
    <w:pPr>
      <w:ind w:left="720"/>
      <w:contextualSpacing/>
    </w:pPr>
  </w:style>
  <w:style w:type="character" w:styleId="IntenseEmphasis">
    <w:name w:val="Intense Emphasis"/>
    <w:basedOn w:val="DefaultParagraphFont"/>
    <w:uiPriority w:val="21"/>
    <w:qFormat/>
    <w:rsid w:val="001F5A8D"/>
    <w:rPr>
      <w:i/>
      <w:iCs/>
      <w:color w:val="0F4761" w:themeColor="accent1" w:themeShade="BF"/>
    </w:rPr>
  </w:style>
  <w:style w:type="paragraph" w:styleId="IntenseQuote">
    <w:name w:val="Intense Quote"/>
    <w:basedOn w:val="Normal"/>
    <w:next w:val="Normal"/>
    <w:link w:val="IntenseQuoteChar"/>
    <w:uiPriority w:val="30"/>
    <w:qFormat/>
    <w:rsid w:val="001F5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A8D"/>
    <w:rPr>
      <w:i/>
      <w:iCs/>
      <w:color w:val="0F4761" w:themeColor="accent1" w:themeShade="BF"/>
      <w:lang w:val="en-GB"/>
    </w:rPr>
  </w:style>
  <w:style w:type="character" w:styleId="IntenseReference">
    <w:name w:val="Intense Reference"/>
    <w:basedOn w:val="DefaultParagraphFont"/>
    <w:uiPriority w:val="32"/>
    <w:qFormat/>
    <w:rsid w:val="001F5A8D"/>
    <w:rPr>
      <w:b/>
      <w:bCs/>
      <w:smallCaps/>
      <w:color w:val="0F4761" w:themeColor="accent1" w:themeShade="BF"/>
      <w:spacing w:val="5"/>
    </w:rPr>
  </w:style>
  <w:style w:type="table" w:styleId="PlainTable5">
    <w:name w:val="Plain Table 5"/>
    <w:basedOn w:val="TableNormal"/>
    <w:uiPriority w:val="45"/>
    <w:rsid w:val="001F5A8D"/>
    <w:rPr>
      <w:lang w:val="en-US"/>
    </w:rPr>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A3286D"/>
    <w:rPr>
      <w:lang w:val="en-GB"/>
    </w:rPr>
  </w:style>
  <w:style w:type="character" w:styleId="CommentReference">
    <w:name w:val="annotation reference"/>
    <w:basedOn w:val="DefaultParagraphFont"/>
    <w:uiPriority w:val="99"/>
    <w:semiHidden/>
    <w:unhideWhenUsed/>
    <w:rsid w:val="00DA5B3B"/>
    <w:rPr>
      <w:sz w:val="16"/>
      <w:szCs w:val="16"/>
    </w:rPr>
  </w:style>
  <w:style w:type="paragraph" w:styleId="CommentText">
    <w:name w:val="annotation text"/>
    <w:basedOn w:val="Normal"/>
    <w:link w:val="CommentTextChar"/>
    <w:uiPriority w:val="99"/>
    <w:unhideWhenUsed/>
    <w:rsid w:val="00DA5B3B"/>
    <w:rPr>
      <w:sz w:val="20"/>
      <w:szCs w:val="20"/>
    </w:rPr>
  </w:style>
  <w:style w:type="character" w:customStyle="1" w:styleId="CommentTextChar">
    <w:name w:val="Comment Text Char"/>
    <w:basedOn w:val="DefaultParagraphFont"/>
    <w:link w:val="CommentText"/>
    <w:uiPriority w:val="99"/>
    <w:rsid w:val="00DA5B3B"/>
    <w:rPr>
      <w:sz w:val="20"/>
      <w:szCs w:val="20"/>
      <w:lang w:val="en-GB"/>
    </w:rPr>
  </w:style>
  <w:style w:type="paragraph" w:styleId="CommentSubject">
    <w:name w:val="annotation subject"/>
    <w:basedOn w:val="CommentText"/>
    <w:next w:val="CommentText"/>
    <w:link w:val="CommentSubjectChar"/>
    <w:uiPriority w:val="99"/>
    <w:semiHidden/>
    <w:unhideWhenUsed/>
    <w:rsid w:val="00DA5B3B"/>
    <w:rPr>
      <w:b/>
      <w:bCs/>
    </w:rPr>
  </w:style>
  <w:style w:type="character" w:customStyle="1" w:styleId="CommentSubjectChar">
    <w:name w:val="Comment Subject Char"/>
    <w:basedOn w:val="CommentTextChar"/>
    <w:link w:val="CommentSubject"/>
    <w:uiPriority w:val="99"/>
    <w:semiHidden/>
    <w:rsid w:val="00DA5B3B"/>
    <w:rPr>
      <w:b/>
      <w:bCs/>
      <w:sz w:val="20"/>
      <w:szCs w:val="20"/>
      <w:lang w:val="en-GB"/>
    </w:rPr>
  </w:style>
  <w:style w:type="character" w:styleId="Hyperlink">
    <w:name w:val="Hyperlink"/>
    <w:basedOn w:val="DefaultParagraphFont"/>
    <w:uiPriority w:val="99"/>
    <w:unhideWhenUsed/>
    <w:rsid w:val="00D02165"/>
    <w:rPr>
      <w:color w:val="467886" w:themeColor="hyperlink"/>
      <w:u w:val="single"/>
    </w:rPr>
  </w:style>
  <w:style w:type="character" w:styleId="UnresolvedMention">
    <w:name w:val="Unresolved Mention"/>
    <w:basedOn w:val="DefaultParagraphFont"/>
    <w:uiPriority w:val="99"/>
    <w:semiHidden/>
    <w:unhideWhenUsed/>
    <w:rsid w:val="00D02165"/>
    <w:rPr>
      <w:color w:val="605E5C"/>
      <w:shd w:val="clear" w:color="auto" w:fill="E1DFDD"/>
    </w:rPr>
  </w:style>
  <w:style w:type="numbering" w:customStyle="1" w:styleId="CurrentList1">
    <w:name w:val="Current List1"/>
    <w:uiPriority w:val="99"/>
    <w:rsid w:val="003A05BB"/>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pen-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78025818C2C14C902AB8957DF23EF9" ma:contentTypeVersion="15" ma:contentTypeDescription="Create a new document." ma:contentTypeScope="" ma:versionID="25f101705ab9f30ca8015bc5a45cfcb1">
  <xsd:schema xmlns:xsd="http://www.w3.org/2001/XMLSchema" xmlns:xs="http://www.w3.org/2001/XMLSchema" xmlns:p="http://schemas.microsoft.com/office/2006/metadata/properties" xmlns:ns2="81b2a677-8d7c-47ab-9c1a-7713dafbeade" xmlns:ns3="05c32749-414d-49a7-85fe-b4092d2d5383" targetNamespace="http://schemas.microsoft.com/office/2006/metadata/properties" ma:root="true" ma:fieldsID="ebd44d139fb8632e36a8f71920e85c5e" ns2:_="" ns3:_="">
    <xsd:import namespace="81b2a677-8d7c-47ab-9c1a-7713dafbeade"/>
    <xsd:import namespace="05c32749-414d-49a7-85fe-b4092d2d53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DocTyp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2a677-8d7c-47ab-9c1a-7713dafbe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c58ff6-2a3f-40a3-8d32-e116a35ec1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DocType" ma:index="21" nillable="true" ma:displayName="DocType" ma:format="Dropdown" ma:internalName="DocType">
      <xsd:simpleType>
        <xsd:union memberTypes="dms:Text">
          <xsd:simpleType>
            <xsd:restriction base="dms:Choice">
              <xsd:enumeration value="questionnaire"/>
              <xsd:enumeration value="overview"/>
              <xsd:enumeration value="introduction"/>
            </xsd:restriction>
          </xsd:simpleType>
        </xsd:un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c32749-414d-49a7-85fe-b4092d2d53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4186e6f-c2f0-448d-8719-c822f03c0ee3}" ma:internalName="TaxCatchAll" ma:showField="CatchAllData" ma:web="05c32749-414d-49a7-85fe-b4092d2d53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Type xmlns="81b2a677-8d7c-47ab-9c1a-7713dafbeade" xsi:nil="true"/>
    <TaxCatchAll xmlns="05c32749-414d-49a7-85fe-b4092d2d5383" xsi:nil="true"/>
    <lcf76f155ced4ddcb4097134ff3c332f xmlns="81b2a677-8d7c-47ab-9c1a-7713dafbead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571A66-D1FD-4A27-BBFA-7981FB771F8E}">
  <ds:schemaRefs>
    <ds:schemaRef ds:uri="http://schemas.microsoft.com/sharepoint/v3/contenttype/forms"/>
  </ds:schemaRefs>
</ds:datastoreItem>
</file>

<file path=customXml/itemProps2.xml><?xml version="1.0" encoding="utf-8"?>
<ds:datastoreItem xmlns:ds="http://schemas.openxmlformats.org/officeDocument/2006/customXml" ds:itemID="{A9738049-D02D-442E-BC6A-382CD5C20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2a677-8d7c-47ab-9c1a-7713dafbeade"/>
    <ds:schemaRef ds:uri="05c32749-414d-49a7-85fe-b4092d2d5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BC4FB1-4460-4D93-A6CF-DAAF05AA1AAD}">
  <ds:schemaRefs>
    <ds:schemaRef ds:uri="http://schemas.microsoft.com/office/2006/metadata/properties"/>
    <ds:schemaRef ds:uri="http://schemas.microsoft.com/office/infopath/2007/PartnerControls"/>
    <ds:schemaRef ds:uri="81b2a677-8d7c-47ab-9c1a-7713dafbeade"/>
    <ds:schemaRef ds:uri="05c32749-414d-49a7-85fe-b4092d2d538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Bozzi</dc:creator>
  <cp:keywords/>
  <dc:description/>
  <cp:lastModifiedBy>Casper Van Gheluwe</cp:lastModifiedBy>
  <cp:revision>4</cp:revision>
  <dcterms:created xsi:type="dcterms:W3CDTF">2024-06-26T21:51:00Z</dcterms:created>
  <dcterms:modified xsi:type="dcterms:W3CDTF">2024-06-27T11:59:00Z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0x0101007B78025818C2C14C902AB8957DF23EF9</vt:lpwstr>
  </property>
  <property fmtid="{D5CDD505-2E9C-101B-9397-08002B2CF9AE}" pid="3" name="MediaServiceImageTags">
    <vt:lpwstr/>
  </property>
  <property fmtid="{D5CDD505-2E9C-101B-9397-08002B2CF9AE}" pid="4" name="MSIP_Label_9d03968c-5327-4aba-8636-aa523978c147_Enabled">
    <vt:lpwstr>true</vt:lpwstr>
  </property>
  <property fmtid="{D5CDD505-2E9C-101B-9397-08002B2CF9AE}" pid="5" name="MSIP_Label_9d03968c-5327-4aba-8636-aa523978c147_SetDate">
    <vt:lpwstr>2024-06-27T11:48:17Z</vt:lpwstr>
  </property>
  <property fmtid="{D5CDD505-2E9C-101B-9397-08002B2CF9AE}" pid="6" name="MSIP_Label_9d03968c-5327-4aba-8636-aa523978c147_Method">
    <vt:lpwstr>Privileged</vt:lpwstr>
  </property>
  <property fmtid="{D5CDD505-2E9C-101B-9397-08002B2CF9AE}" pid="7" name="MSIP_Label_9d03968c-5327-4aba-8636-aa523978c147_Name">
    <vt:lpwstr>Restricted - General - Unmarked</vt:lpwstr>
  </property>
  <property fmtid="{D5CDD505-2E9C-101B-9397-08002B2CF9AE}" pid="8" name="MSIP_Label_9d03968c-5327-4aba-8636-aa523978c147_SiteId">
    <vt:lpwstr>a72d5a72-25ee-40f0-9bd1-067cb5b770d4</vt:lpwstr>
  </property>
  <property fmtid="{D5CDD505-2E9C-101B-9397-08002B2CF9AE}" pid="9" name="MSIP_Label_9d03968c-5327-4aba-8636-aa523978c147_ActionId">
    <vt:lpwstr>96450392-5622-4118-81fc-2d1642b21fa7</vt:lpwstr>
  </property>
  <property fmtid="{D5CDD505-2E9C-101B-9397-08002B2CF9AE}" pid="10" name="MSIP_Label_9d03968c-5327-4aba-8636-aa523978c147_ContentBits">
    <vt:lpwstr>0</vt:lpwstr>
  </property>
</Properties>
</file>