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23B98" w14:textId="77777777" w:rsidR="008D05A9" w:rsidRDefault="00EB46D7">
      <w:r>
        <w:br/>
      </w:r>
      <w:r>
        <w:br/>
      </w:r>
      <w:r>
        <w:br/>
      </w:r>
      <w:r>
        <w:br/>
      </w:r>
    </w:p>
    <w:p w14:paraId="0725098B" w14:textId="77777777" w:rsidR="008D05A9" w:rsidRDefault="00EB46D7">
      <w:pPr>
        <w:pStyle w:val="Title"/>
        <w:jc w:val="center"/>
      </w:pPr>
      <w:r>
        <w:t>Sales Performance Report &amp; Data Storytelling</w:t>
      </w:r>
    </w:p>
    <w:p w14:paraId="32EBCC60" w14:textId="77777777" w:rsidR="008D05A9" w:rsidRDefault="00EB46D7">
      <w:pPr>
        <w:jc w:val="center"/>
      </w:pPr>
      <w:r>
        <w:t>Prepared by: Daniel Essuman Quainoo</w:t>
      </w:r>
    </w:p>
    <w:p w14:paraId="1B0C3F2B" w14:textId="77777777" w:rsidR="008D05A9" w:rsidRDefault="00EB46D7">
      <w:pPr>
        <w:jc w:val="center"/>
      </w:pPr>
      <w:r>
        <w:t>Date: April 2025</w:t>
      </w:r>
    </w:p>
    <w:p w14:paraId="3FE00241" w14:textId="77777777" w:rsidR="008D05A9" w:rsidRDefault="00EB46D7">
      <w:pPr>
        <w:jc w:val="center"/>
      </w:pPr>
      <w:r>
        <w:br/>
        <w:t>Confidential Business Report</w:t>
      </w:r>
    </w:p>
    <w:p w14:paraId="0FC342D8" w14:textId="77777777" w:rsidR="008D05A9" w:rsidRDefault="00EB46D7">
      <w:r>
        <w:br w:type="page"/>
      </w:r>
    </w:p>
    <w:p w14:paraId="50E81A08" w14:textId="77777777" w:rsidR="008D05A9" w:rsidRDefault="00EB46D7">
      <w:pPr>
        <w:pStyle w:val="Caption"/>
      </w:pPr>
      <w:r>
        <w:lastRenderedPageBreak/>
        <w:t>Figure 1: Sales Dashboard Overview</w:t>
      </w:r>
    </w:p>
    <w:p w14:paraId="733B7C45" w14:textId="77777777" w:rsidR="008D05A9" w:rsidRDefault="007E50F3">
      <w:r>
        <w:rPr>
          <w:noProof/>
        </w:rPr>
        <w:drawing>
          <wp:inline distT="0" distB="0" distL="0" distR="0" wp14:anchorId="42DEA376" wp14:editId="7231CF24">
            <wp:extent cx="5996940" cy="52578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996940" cy="5257800"/>
                    </a:xfrm>
                    <a:prstGeom prst="rect">
                      <a:avLst/>
                    </a:prstGeom>
                  </pic:spPr>
                </pic:pic>
              </a:graphicData>
            </a:graphic>
          </wp:inline>
        </w:drawing>
      </w:r>
    </w:p>
    <w:p w14:paraId="4C1B5B53" w14:textId="77777777" w:rsidR="008D05A9" w:rsidRDefault="00EB46D7">
      <w:r>
        <w:br w:type="page"/>
      </w:r>
    </w:p>
    <w:p w14:paraId="508B6D85" w14:textId="77777777" w:rsidR="008D05A9" w:rsidRDefault="00EB46D7">
      <w:pPr>
        <w:pStyle w:val="Caption"/>
      </w:pPr>
      <w:r>
        <w:lastRenderedPageBreak/>
        <w:t>Figure 2: Detailed Sales Visuals</w:t>
      </w:r>
    </w:p>
    <w:p w14:paraId="0FF57683" w14:textId="77777777" w:rsidR="008D05A9" w:rsidRDefault="008D05A9"/>
    <w:p w14:paraId="56D04858" w14:textId="77777777" w:rsidR="008D05A9" w:rsidRDefault="007E50F3">
      <w:r>
        <w:rPr>
          <w:noProof/>
        </w:rPr>
        <w:drawing>
          <wp:inline distT="0" distB="0" distL="0" distR="0" wp14:anchorId="7BE479C8" wp14:editId="0720E878">
            <wp:extent cx="6012180" cy="4838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6012180" cy="4838700"/>
                    </a:xfrm>
                    <a:prstGeom prst="rect">
                      <a:avLst/>
                    </a:prstGeom>
                  </pic:spPr>
                </pic:pic>
              </a:graphicData>
            </a:graphic>
          </wp:inline>
        </w:drawing>
      </w:r>
      <w:r w:rsidR="00EB46D7">
        <w:br w:type="page"/>
      </w:r>
    </w:p>
    <w:p w14:paraId="0F74401F" w14:textId="77777777" w:rsidR="008D05A9" w:rsidRPr="00B606ED" w:rsidRDefault="00EB46D7" w:rsidP="007E50F3">
      <w:pPr>
        <w:jc w:val="center"/>
        <w:rPr>
          <w:b/>
          <w:bCs/>
          <w:sz w:val="40"/>
          <w:szCs w:val="40"/>
        </w:rPr>
      </w:pPr>
      <w:r w:rsidRPr="00B606ED">
        <w:rPr>
          <w:b/>
          <w:bCs/>
          <w:sz w:val="40"/>
          <w:szCs w:val="40"/>
        </w:rPr>
        <w:lastRenderedPageBreak/>
        <w:t>Sales Data Storytelling</w:t>
      </w:r>
    </w:p>
    <w:p w14:paraId="79CCAB2B" w14:textId="77777777" w:rsidR="008D05A9" w:rsidRDefault="00EB46D7">
      <w:pPr>
        <w:pStyle w:val="Heading2"/>
      </w:pPr>
      <w:r>
        <w:t>1. Overview</w:t>
      </w:r>
    </w:p>
    <w:p w14:paraId="3BCF7C85" w14:textId="77777777" w:rsidR="008D05A9" w:rsidRDefault="00EB46D7">
      <w:r>
        <w:t>The dataset represents the company’s sales performance over three years (January 2023 to December 2025), capturing monthly sales transactions across multiple regions and product categories.</w:t>
      </w:r>
    </w:p>
    <w:p w14:paraId="3C04F9F8" w14:textId="77777777" w:rsidR="00066C51" w:rsidRDefault="00EB46D7">
      <w:r>
        <w:t>A total of $508,451,643.49 in revenue was recorded during the period under review, demonstrating consistent business growth. The data provides valuable insights into the company’s regional performance, product contribution, and overall sales trends.</w:t>
      </w:r>
    </w:p>
    <w:p w14:paraId="21E8C360" w14:textId="25F66A79" w:rsidR="008D05A9" w:rsidRDefault="00600BCE">
      <w:r>
        <w:pict w14:anchorId="795F7374">
          <v:rect id="_x0000_i1025" style="width:0;height:1.5pt" o:hralign="center" o:hrstd="t" o:hr="t" fillcolor="#a0a0a0" stroked="f"/>
        </w:pict>
      </w:r>
    </w:p>
    <w:p w14:paraId="799BF12B" w14:textId="77777777" w:rsidR="008D05A9" w:rsidRDefault="00EB46D7">
      <w:pPr>
        <w:pStyle w:val="Heading2"/>
      </w:pPr>
      <w:r>
        <w:t>2. Overall Sales Performance</w:t>
      </w:r>
    </w:p>
    <w:p w14:paraId="2E287BDB" w14:textId="77777777" w:rsidR="00066C51" w:rsidRDefault="00EB46D7">
      <w:r>
        <w:t>Sales have shown a generally upward trend throughout the three years, with occasional monthly fluctuations. The most recent period (December 2025) recorded $14,662,226.42 in total sales, marking a 5.85% month-over-month growth compared to November 2025. When comparing year-on-year figures, the company experienced a steady increase in total revenue, reflecting effective marketing strategies, better inventory control, and customer retention. The overall sales growth trend indicates resilience and a healthy performance trajectory.</w:t>
      </w:r>
    </w:p>
    <w:p w14:paraId="6E8000C5" w14:textId="175C8893" w:rsidR="008D05A9" w:rsidRDefault="00600BCE">
      <w:r>
        <w:pict w14:anchorId="59291020">
          <v:rect id="_x0000_i1026" style="width:0;height:1.5pt" o:hralign="center" o:hrstd="t" o:hr="t" fillcolor="#a0a0a0" stroked="f"/>
        </w:pict>
      </w:r>
    </w:p>
    <w:p w14:paraId="3FAA7309" w14:textId="77777777" w:rsidR="008D05A9" w:rsidRDefault="00EB46D7">
      <w:pPr>
        <w:pStyle w:val="Heading2"/>
      </w:pPr>
      <w:r>
        <w:t>3. Regional Analysis</w:t>
      </w:r>
    </w:p>
    <w:p w14:paraId="090C08A6" w14:textId="77777777" w:rsidR="008D05A9" w:rsidRDefault="00EB46D7">
      <w:r>
        <w:t>The company operates across several regions, with each contributing differently to overall performance.</w:t>
      </w:r>
    </w:p>
    <w:p w14:paraId="2DB47CC2" w14:textId="77777777" w:rsidR="008D05A9" w:rsidRDefault="00EB46D7">
      <w:r>
        <w:t>From the data:</w:t>
      </w:r>
    </w:p>
    <w:p w14:paraId="0022D7A7" w14:textId="77777777" w:rsidR="008D05A9" w:rsidRDefault="00EB46D7" w:rsidP="00561EA7">
      <w:pPr>
        <w:pStyle w:val="ListParagraph"/>
        <w:numPr>
          <w:ilvl w:val="0"/>
          <w:numId w:val="10"/>
        </w:numPr>
      </w:pPr>
      <w:r>
        <w:t>The East Region emerged as the highest-performing region, generating $129,080,381.18, representing approximately 25.4% of total company revenue.</w:t>
      </w:r>
    </w:p>
    <w:p w14:paraId="53B7C57C" w14:textId="77777777" w:rsidR="008D05A9" w:rsidRDefault="00EB46D7" w:rsidP="00CF0759">
      <w:pPr>
        <w:pStyle w:val="ListParagraph"/>
        <w:numPr>
          <w:ilvl w:val="0"/>
          <w:numId w:val="10"/>
        </w:numPr>
      </w:pPr>
      <w:r>
        <w:t>The South Region followed with $115,427,902.17, while the West Region contributed $103,819,228.04.</w:t>
      </w:r>
    </w:p>
    <w:p w14:paraId="4C1FF925" w14:textId="77777777" w:rsidR="008D05A9" w:rsidRDefault="00EB46D7" w:rsidP="00CF0759">
      <w:pPr>
        <w:pStyle w:val="ListParagraph"/>
        <w:numPr>
          <w:ilvl w:val="0"/>
          <w:numId w:val="10"/>
        </w:numPr>
      </w:pPr>
      <w:r>
        <w:t>The North Region, though the lowest performer, still recorded $79,432,091.53, reflecting notable customer engagement in that area.</w:t>
      </w:r>
    </w:p>
    <w:p w14:paraId="0FF6BD51" w14:textId="77777777" w:rsidR="00066C51" w:rsidRDefault="00EB46D7" w:rsidP="00CF0759">
      <w:pPr>
        <w:pStyle w:val="ListParagraph"/>
        <w:numPr>
          <w:ilvl w:val="0"/>
          <w:numId w:val="10"/>
        </w:numPr>
      </w:pPr>
      <w:r>
        <w:t>This distribution reveals that the eastern and southern territories dominate sales activities, likely due to higher customer density, better distribution networks, or established retail partnerships.</w:t>
      </w:r>
    </w:p>
    <w:p w14:paraId="01A5D32B" w14:textId="58500503" w:rsidR="008D05A9" w:rsidRDefault="00600BCE">
      <w:r>
        <w:pict w14:anchorId="2634F2B6">
          <v:rect id="_x0000_i1027" style="width:0;height:1.5pt" o:hralign="center" o:hrstd="t" o:hr="t" fillcolor="#a0a0a0" stroked="f"/>
        </w:pict>
      </w:r>
    </w:p>
    <w:p w14:paraId="51A2BA1D" w14:textId="77777777" w:rsidR="008D05A9" w:rsidRDefault="00EB46D7">
      <w:pPr>
        <w:pStyle w:val="Heading2"/>
      </w:pPr>
      <w:r>
        <w:t>4. Product Analysis</w:t>
      </w:r>
    </w:p>
    <w:p w14:paraId="6ACACBCA" w14:textId="77777777" w:rsidR="008D05A9" w:rsidRDefault="00EB46D7">
      <w:r>
        <w:t>The company offers multiple product categories, each showing varying degrees of contribution to total revenue.</w:t>
      </w:r>
    </w:p>
    <w:p w14:paraId="00F90736" w14:textId="77777777" w:rsidR="008D05A9" w:rsidRDefault="00EB46D7">
      <w:r>
        <w:lastRenderedPageBreak/>
        <w:t>From the data:</w:t>
      </w:r>
    </w:p>
    <w:p w14:paraId="6C965BC9" w14:textId="77777777" w:rsidR="008D05A9" w:rsidRDefault="00EB46D7">
      <w:r>
        <w:t>Dresses emerged as the top-selling product, generating $26,698,193.33 during the analysis period. Shoes and Accessories followed closely, indicating a strong fashion-oriented demand pattern. Other items, such as Tops, Bags, and Trousers, recorded consistent but smaller contributions.</w:t>
      </w:r>
    </w:p>
    <w:p w14:paraId="35EDD912" w14:textId="77777777" w:rsidR="00066C51" w:rsidRDefault="00EB46D7">
      <w:r>
        <w:t>The Pareto analysis principle (80/20 rule) suggests that roughly 20% of the products account for 80% of sales, confirming that focusing on high-performing product lines (like Dresses and Shoes) could yield higher profitability.</w:t>
      </w:r>
    </w:p>
    <w:p w14:paraId="5F4C1E90" w14:textId="0D59D4CD" w:rsidR="008D05A9" w:rsidRDefault="00600BCE">
      <w:r>
        <w:pict w14:anchorId="5D4DD10D">
          <v:rect id="_x0000_i1028" style="width:0;height:1.5pt" o:hralign="center" o:hrstd="t" o:hr="t" fillcolor="#a0a0a0" stroked="f"/>
        </w:pict>
      </w:r>
    </w:p>
    <w:p w14:paraId="063D58F3" w14:textId="77777777" w:rsidR="008D05A9" w:rsidRDefault="00EB46D7">
      <w:pPr>
        <w:pStyle w:val="Heading2"/>
      </w:pPr>
      <w:r>
        <w:t>5. Monthly Trend Analysis</w:t>
      </w:r>
    </w:p>
    <w:p w14:paraId="179338A5" w14:textId="77777777" w:rsidR="00066C51" w:rsidRDefault="00EB46D7">
      <w:r>
        <w:t>A month-by-month review of sales shows noticeable seasonal patterns. Peak sales often occurred in June, August, November, and December, aligning with festive and promotional periods, while slower months were typically recorded in February and September. These fluctuations are normal in retail cycles and reflect customer purchasing behavior tied to holidays, fashion releases, and discount campaigns. The company’s ability to maintain consistent upward trends after low months indicates effective recovery and sustained customer loyalty.</w:t>
      </w:r>
    </w:p>
    <w:p w14:paraId="548AFBD9" w14:textId="77777777" w:rsidR="00906147" w:rsidRDefault="00600BCE" w:rsidP="00906147">
      <w:r>
        <w:pict w14:anchorId="040D6303">
          <v:rect id="_x0000_i1029" style="width:0;height:1.5pt" o:hralign="center" o:hrstd="t" o:hr="t" fillcolor="#a0a0a0" stroked="f"/>
        </w:pict>
      </w:r>
      <w:r w:rsidR="00EB46D7" w:rsidRPr="00906147">
        <w:rPr>
          <w:b/>
          <w:bCs/>
          <w:color w:val="548DD4" w:themeColor="text2" w:themeTint="99"/>
          <w:sz w:val="24"/>
          <w:szCs w:val="24"/>
        </w:rPr>
        <w:t>6. Key Insights</w:t>
      </w:r>
    </w:p>
    <w:p w14:paraId="37ED4E43" w14:textId="7442FC41" w:rsidR="00906147" w:rsidRDefault="00EB46D7" w:rsidP="00D17E91">
      <w:pPr>
        <w:pStyle w:val="ListParagraph"/>
        <w:numPr>
          <w:ilvl w:val="0"/>
          <w:numId w:val="11"/>
        </w:numPr>
      </w:pPr>
      <w:r w:rsidRPr="00EB46D7">
        <w:t>Sustained Growth: The company achieved steady sales growth, particularly in the second half of each year.</w:t>
      </w:r>
    </w:p>
    <w:p w14:paraId="5ED7F48B" w14:textId="6439FC19" w:rsidR="00906147" w:rsidRDefault="00EB46D7" w:rsidP="00D17E91">
      <w:pPr>
        <w:pStyle w:val="ListParagraph"/>
        <w:numPr>
          <w:ilvl w:val="0"/>
          <w:numId w:val="11"/>
        </w:numPr>
      </w:pPr>
      <w:r w:rsidRPr="00EB46D7">
        <w:t>Regional Strength: The East and South regions are strategic strongholds, contributing almost half of total sales.</w:t>
      </w:r>
    </w:p>
    <w:p w14:paraId="0D45BD2C" w14:textId="641C473D" w:rsidR="00906147" w:rsidRDefault="00EB46D7" w:rsidP="00D17E91">
      <w:pPr>
        <w:pStyle w:val="ListParagraph"/>
        <w:numPr>
          <w:ilvl w:val="0"/>
          <w:numId w:val="11"/>
        </w:numPr>
      </w:pPr>
      <w:r w:rsidRPr="00EB46D7">
        <w:t>Product Focus: Dresses and Shoes dominate product performance and should remain central in marketing and inventory planning.</w:t>
      </w:r>
    </w:p>
    <w:p w14:paraId="41B1F64D" w14:textId="2B0D11DA" w:rsidR="00906147" w:rsidRDefault="00EB46D7" w:rsidP="00D17E91">
      <w:pPr>
        <w:pStyle w:val="ListParagraph"/>
        <w:numPr>
          <w:ilvl w:val="0"/>
          <w:numId w:val="11"/>
        </w:numPr>
      </w:pPr>
      <w:r w:rsidRPr="00EB46D7">
        <w:t>Seasonality: Sales surges during mid-year and end-of-year months suggest strong opportunities for targeted campaigns.</w:t>
      </w:r>
    </w:p>
    <w:p w14:paraId="005B9D83" w14:textId="60D11401" w:rsidR="00066C51" w:rsidRPr="00906147" w:rsidRDefault="00EB46D7" w:rsidP="00D17E91">
      <w:pPr>
        <w:pStyle w:val="ListParagraph"/>
        <w:numPr>
          <w:ilvl w:val="0"/>
          <w:numId w:val="11"/>
        </w:numPr>
      </w:pPr>
      <w:r w:rsidRPr="00EB46D7">
        <w:t>Profitability Optimization: The company could leverage insights from low-performing regions and product lines for growth interventions.</w:t>
      </w:r>
    </w:p>
    <w:p w14:paraId="66FC300D" w14:textId="47B4DFEC" w:rsidR="008D05A9" w:rsidRPr="00EB46D7" w:rsidRDefault="00600BCE">
      <w:pPr>
        <w:pStyle w:val="Heading2"/>
        <w:rPr>
          <w:rFonts w:asciiTheme="minorHAnsi" w:hAnsiTheme="minorHAnsi"/>
          <w:b w:val="0"/>
          <w:bCs w:val="0"/>
          <w:sz w:val="22"/>
          <w:szCs w:val="22"/>
        </w:rPr>
      </w:pPr>
      <w:r>
        <w:pict w14:anchorId="42F4E2FD">
          <v:rect id="_x0000_i1030" style="width:0;height:1.5pt" o:hralign="center" o:hrstd="t" o:hr="t" fillcolor="#a0a0a0" stroked="f"/>
        </w:pict>
      </w:r>
    </w:p>
    <w:p w14:paraId="73CC4EEB" w14:textId="77777777" w:rsidR="008D05A9" w:rsidRDefault="00EB46D7">
      <w:pPr>
        <w:pStyle w:val="Heading2"/>
      </w:pPr>
      <w:r>
        <w:t>7. Strategic Recommendations</w:t>
      </w:r>
    </w:p>
    <w:p w14:paraId="7FFC724C" w14:textId="77777777" w:rsidR="008D05A9" w:rsidRDefault="00EB46D7">
      <w:r>
        <w:t>Expand operations in high-performing regions (East and South) while exploring localized marketing for lower-performing areas.</w:t>
      </w:r>
    </w:p>
    <w:p w14:paraId="12B9C13A" w14:textId="77777777" w:rsidR="008D05A9" w:rsidRDefault="00EB46D7">
      <w:r>
        <w:t>Increase stock levels and marketing efforts for top-selling product lines during peak seasons.</w:t>
      </w:r>
    </w:p>
    <w:p w14:paraId="7B368C08" w14:textId="77777777" w:rsidR="008D05A9" w:rsidRDefault="00EB46D7">
      <w:r>
        <w:lastRenderedPageBreak/>
        <w:t>Implement data-driven demand forecasting to anticipate future trends and align production capacity accordingly.</w:t>
      </w:r>
    </w:p>
    <w:p w14:paraId="4073A041" w14:textId="77777777" w:rsidR="00066C51" w:rsidRDefault="00EB46D7">
      <w:r>
        <w:t>Enhance customer engagement through loyalty programs and regional promotional events to strengthen brand presence.</w:t>
      </w:r>
    </w:p>
    <w:p w14:paraId="76A7176C" w14:textId="015CC1E7" w:rsidR="008D05A9" w:rsidRDefault="00600BCE">
      <w:r>
        <w:pict w14:anchorId="324AF9C5">
          <v:rect id="_x0000_i1031" style="width:0;height:1.5pt" o:hralign="center" o:hrstd="t" o:hr="t" fillcolor="#a0a0a0" stroked="f"/>
        </w:pict>
      </w:r>
    </w:p>
    <w:p w14:paraId="033A88A4" w14:textId="77777777" w:rsidR="008D05A9" w:rsidRDefault="00EB46D7">
      <w:pPr>
        <w:pStyle w:val="Heading2"/>
      </w:pPr>
      <w:r>
        <w:t>8. Conclusion</w:t>
      </w:r>
    </w:p>
    <w:p w14:paraId="7798BF89" w14:textId="77777777" w:rsidR="008D05A9" w:rsidRDefault="00EB46D7">
      <w:r>
        <w:t>The analysis highlights a strong and progressive sales performance over the three-year period, with total revenue exceeding $508 million. This consistent growth underscores the company’s solid market presence and effective operational strategies. The dominance of the East and South regions, coupled with the high demand for Dresses and Shoes, reveals where strategic focus yields the greatest returns. Seasonal patterns also emphasize the importance of capitalizing on mid-year and end-of-year peaks through targeted promotions and inventory planning.</w:t>
      </w:r>
    </w:p>
    <w:p w14:paraId="39F8E14F" w14:textId="77777777" w:rsidR="008D05A9" w:rsidRDefault="00EB46D7">
      <w:r>
        <w:t>By continuously leveraging these insights—optimizing top-performing regions, strengthening product portfolios, and aligning sales efforts with customer behavior—the company is well-positioned to sustain its growth momentum and drive long-term profitability.</w:t>
      </w:r>
    </w:p>
    <w:p w14:paraId="3E7FDBA6" w14:textId="0C2FEF8A" w:rsidR="00AD0B49" w:rsidRPr="00066C51" w:rsidRDefault="00922742" w:rsidP="00066C51">
      <w:pPr>
        <w:rPr>
          <w:b/>
          <w:bCs/>
          <w:sz w:val="28"/>
          <w:szCs w:val="28"/>
        </w:rPr>
      </w:pPr>
      <w:r>
        <w:br w:type="page"/>
      </w:r>
      <w:r w:rsidRPr="00066C51">
        <w:rPr>
          <w:b/>
          <w:bCs/>
          <w:color w:val="548DD4" w:themeColor="text2" w:themeTint="99"/>
          <w:sz w:val="28"/>
          <w:szCs w:val="28"/>
        </w:rPr>
        <w:lastRenderedPageBreak/>
        <w:t>Appendix: Data Summary</w:t>
      </w:r>
    </w:p>
    <w:p w14:paraId="4A1A56A1" w14:textId="77777777" w:rsidR="00AD0B49" w:rsidRDefault="00922742">
      <w:r>
        <w:t>This section provides a summary of the sales data extracted and analyzed from the MySQL database.</w:t>
      </w:r>
    </w:p>
    <w:p w14:paraId="6F7A4AD5" w14:textId="77777777" w:rsidR="00AD0B49" w:rsidRDefault="00922742">
      <w:pPr>
        <w:pStyle w:val="Heading2"/>
      </w:pPr>
      <w:r>
        <w:t>Overall Performance</w:t>
      </w:r>
    </w:p>
    <w:p w14:paraId="4195C03F" w14:textId="77777777" w:rsidR="00AD0B49" w:rsidRDefault="00922742">
      <w:r>
        <w:t>• Total Revenue: $433,051,751.57</w:t>
      </w:r>
    </w:p>
    <w:p w14:paraId="28FCF5E6" w14:textId="77777777" w:rsidR="00AD0B49" w:rsidRDefault="00922742">
      <w:r>
        <w:t>• Total Profit: $325,344,098.27</w:t>
      </w:r>
    </w:p>
    <w:p w14:paraId="4C250AED" w14:textId="77777777" w:rsidR="00066C51" w:rsidRDefault="00922742">
      <w:r>
        <w:t>• Total Records Analyzed: 20,000 transactions across 4 regions and 20 unique products.</w:t>
      </w:r>
    </w:p>
    <w:p w14:paraId="0B723733" w14:textId="5AD96C7B" w:rsidR="00AD0B49" w:rsidRDefault="00600BCE">
      <w:r>
        <w:pict w14:anchorId="11A92001">
          <v:rect id="_x0000_i1032" style="width:0;height:1.5pt" o:hralign="center" o:hrstd="t" o:hr="t" fillcolor="#a0a0a0" stroked="f"/>
        </w:pict>
      </w:r>
    </w:p>
    <w:p w14:paraId="35A57568" w14:textId="2795F3B2" w:rsidR="006C495D" w:rsidRPr="006C495D" w:rsidRDefault="006C495D">
      <w:pPr>
        <w:rPr>
          <w:b/>
          <w:bCs/>
          <w:color w:val="548DD4" w:themeColor="text2" w:themeTint="99"/>
          <w:sz w:val="28"/>
          <w:szCs w:val="28"/>
        </w:rPr>
      </w:pPr>
      <w:r w:rsidRPr="006C495D">
        <w:rPr>
          <w:b/>
          <w:bCs/>
          <w:color w:val="548DD4" w:themeColor="text2" w:themeTint="99"/>
          <w:sz w:val="28"/>
          <w:szCs w:val="28"/>
        </w:rPr>
        <w:t>Regional Performance Summary</w:t>
      </w:r>
    </w:p>
    <w:tbl>
      <w:tblPr>
        <w:tblStyle w:val="TableGrid"/>
        <w:tblW w:w="0" w:type="auto"/>
        <w:tblLook w:val="04A0" w:firstRow="1" w:lastRow="0" w:firstColumn="1" w:lastColumn="0" w:noHBand="0" w:noVBand="1"/>
      </w:tblPr>
      <w:tblGrid>
        <w:gridCol w:w="2952"/>
        <w:gridCol w:w="2952"/>
        <w:gridCol w:w="2952"/>
      </w:tblGrid>
      <w:tr w:rsidR="00432715" w14:paraId="150A3640" w14:textId="77777777" w:rsidTr="00D17E91">
        <w:trPr>
          <w:trHeight w:val="728"/>
        </w:trPr>
        <w:tc>
          <w:tcPr>
            <w:tcW w:w="2952" w:type="dxa"/>
          </w:tcPr>
          <w:p w14:paraId="601A529D" w14:textId="0749F575" w:rsidR="00432715" w:rsidRDefault="00432715" w:rsidP="00B606ED">
            <w:pPr>
              <w:pStyle w:val="Heading2"/>
              <w:jc w:val="center"/>
              <w:outlineLvl w:val="1"/>
            </w:pPr>
            <w:r>
              <w:t>Region</w:t>
            </w:r>
          </w:p>
        </w:tc>
        <w:tc>
          <w:tcPr>
            <w:tcW w:w="2952" w:type="dxa"/>
          </w:tcPr>
          <w:p w14:paraId="6CE029E6" w14:textId="631C508F" w:rsidR="00432715" w:rsidRDefault="00432715" w:rsidP="00B606ED">
            <w:pPr>
              <w:pStyle w:val="Heading2"/>
              <w:jc w:val="center"/>
              <w:outlineLvl w:val="1"/>
            </w:pPr>
            <w:r>
              <w:t>Total Revenue ($)</w:t>
            </w:r>
          </w:p>
        </w:tc>
        <w:tc>
          <w:tcPr>
            <w:tcW w:w="2952" w:type="dxa"/>
          </w:tcPr>
          <w:p w14:paraId="6EB446BA" w14:textId="5E8B3190" w:rsidR="00432715" w:rsidRDefault="00432715" w:rsidP="00B606ED">
            <w:pPr>
              <w:pStyle w:val="Heading2"/>
              <w:jc w:val="center"/>
              <w:outlineLvl w:val="1"/>
            </w:pPr>
            <w:r>
              <w:t>Contribution (%)</w:t>
            </w:r>
          </w:p>
        </w:tc>
      </w:tr>
      <w:tr w:rsidR="00432715" w14:paraId="00CC9DB0" w14:textId="77777777" w:rsidTr="00432715">
        <w:tc>
          <w:tcPr>
            <w:tcW w:w="2952" w:type="dxa"/>
          </w:tcPr>
          <w:p w14:paraId="43CFDF49" w14:textId="5EF6F938" w:rsidR="00432715" w:rsidRPr="006C495D" w:rsidRDefault="00432715" w:rsidP="00B606ED">
            <w:pPr>
              <w:pStyle w:val="Heading2"/>
              <w:jc w:val="center"/>
              <w:outlineLvl w:val="1"/>
              <w:rPr>
                <w:b w:val="0"/>
                <w:bCs w:val="0"/>
                <w:color w:val="auto"/>
              </w:rPr>
            </w:pPr>
            <w:r w:rsidRPr="006C495D">
              <w:rPr>
                <w:b w:val="0"/>
                <w:bCs w:val="0"/>
                <w:color w:val="auto"/>
              </w:rPr>
              <w:t>East</w:t>
            </w:r>
          </w:p>
        </w:tc>
        <w:tc>
          <w:tcPr>
            <w:tcW w:w="2952" w:type="dxa"/>
          </w:tcPr>
          <w:p w14:paraId="18B5C98A" w14:textId="7FD820A0" w:rsidR="00432715" w:rsidRPr="006C495D" w:rsidRDefault="00432715" w:rsidP="00B606ED">
            <w:pPr>
              <w:pStyle w:val="Heading2"/>
              <w:jc w:val="center"/>
              <w:outlineLvl w:val="1"/>
              <w:rPr>
                <w:b w:val="0"/>
                <w:bCs w:val="0"/>
                <w:color w:val="auto"/>
              </w:rPr>
            </w:pPr>
            <w:r w:rsidRPr="006C495D">
              <w:rPr>
                <w:b w:val="0"/>
                <w:bCs w:val="0"/>
                <w:color w:val="auto"/>
              </w:rPr>
              <w:t>110,230,013.84</w:t>
            </w:r>
          </w:p>
        </w:tc>
        <w:tc>
          <w:tcPr>
            <w:tcW w:w="2952" w:type="dxa"/>
          </w:tcPr>
          <w:p w14:paraId="11017AB1" w14:textId="104C0411" w:rsidR="00432715" w:rsidRPr="006C495D" w:rsidRDefault="00432715" w:rsidP="00B606ED">
            <w:pPr>
              <w:pStyle w:val="Heading2"/>
              <w:jc w:val="center"/>
              <w:outlineLvl w:val="1"/>
              <w:rPr>
                <w:b w:val="0"/>
                <w:bCs w:val="0"/>
                <w:color w:val="auto"/>
              </w:rPr>
            </w:pPr>
            <w:r w:rsidRPr="006C495D">
              <w:rPr>
                <w:b w:val="0"/>
                <w:bCs w:val="0"/>
                <w:color w:val="auto"/>
              </w:rPr>
              <w:t>25.45%</w:t>
            </w:r>
          </w:p>
        </w:tc>
      </w:tr>
      <w:tr w:rsidR="00432715" w14:paraId="49D05A91" w14:textId="77777777" w:rsidTr="00432715">
        <w:tc>
          <w:tcPr>
            <w:tcW w:w="2952" w:type="dxa"/>
          </w:tcPr>
          <w:p w14:paraId="44CA240E" w14:textId="7D944300" w:rsidR="00432715" w:rsidRPr="006C495D" w:rsidRDefault="00432715" w:rsidP="00B606ED">
            <w:pPr>
              <w:pStyle w:val="Heading2"/>
              <w:jc w:val="center"/>
              <w:outlineLvl w:val="1"/>
              <w:rPr>
                <w:b w:val="0"/>
                <w:bCs w:val="0"/>
                <w:color w:val="auto"/>
              </w:rPr>
            </w:pPr>
            <w:r w:rsidRPr="006C495D">
              <w:rPr>
                <w:b w:val="0"/>
                <w:bCs w:val="0"/>
                <w:color w:val="auto"/>
              </w:rPr>
              <w:t>North</w:t>
            </w:r>
          </w:p>
        </w:tc>
        <w:tc>
          <w:tcPr>
            <w:tcW w:w="2952" w:type="dxa"/>
          </w:tcPr>
          <w:p w14:paraId="19D612FE" w14:textId="5AE686F7" w:rsidR="00432715" w:rsidRPr="006C495D" w:rsidRDefault="00432715" w:rsidP="00B606ED">
            <w:pPr>
              <w:pStyle w:val="Heading2"/>
              <w:jc w:val="center"/>
              <w:outlineLvl w:val="1"/>
              <w:rPr>
                <w:b w:val="0"/>
                <w:bCs w:val="0"/>
                <w:color w:val="auto"/>
              </w:rPr>
            </w:pPr>
            <w:r w:rsidRPr="006C495D">
              <w:rPr>
                <w:b w:val="0"/>
                <w:bCs w:val="0"/>
                <w:color w:val="auto"/>
              </w:rPr>
              <w:t>109,138,616.34</w:t>
            </w:r>
          </w:p>
        </w:tc>
        <w:tc>
          <w:tcPr>
            <w:tcW w:w="2952" w:type="dxa"/>
          </w:tcPr>
          <w:p w14:paraId="44A35A69" w14:textId="17EB005F" w:rsidR="00432715" w:rsidRPr="006C495D" w:rsidRDefault="00432715" w:rsidP="00B606ED">
            <w:pPr>
              <w:pStyle w:val="Heading2"/>
              <w:jc w:val="center"/>
              <w:outlineLvl w:val="1"/>
              <w:rPr>
                <w:b w:val="0"/>
                <w:bCs w:val="0"/>
                <w:color w:val="auto"/>
              </w:rPr>
            </w:pPr>
            <w:r w:rsidRPr="006C495D">
              <w:rPr>
                <w:b w:val="0"/>
                <w:bCs w:val="0"/>
                <w:color w:val="auto"/>
              </w:rPr>
              <w:t>25.20%</w:t>
            </w:r>
          </w:p>
        </w:tc>
      </w:tr>
      <w:tr w:rsidR="00432715" w14:paraId="39A61AF2" w14:textId="77777777" w:rsidTr="00432715">
        <w:tc>
          <w:tcPr>
            <w:tcW w:w="2952" w:type="dxa"/>
          </w:tcPr>
          <w:p w14:paraId="592F4025" w14:textId="4A109502" w:rsidR="00432715" w:rsidRPr="006C495D" w:rsidRDefault="00432715" w:rsidP="00B606ED">
            <w:pPr>
              <w:pStyle w:val="Heading2"/>
              <w:jc w:val="center"/>
              <w:outlineLvl w:val="1"/>
              <w:rPr>
                <w:b w:val="0"/>
                <w:bCs w:val="0"/>
                <w:color w:val="auto"/>
              </w:rPr>
            </w:pPr>
            <w:r w:rsidRPr="006C495D">
              <w:rPr>
                <w:b w:val="0"/>
                <w:bCs w:val="0"/>
                <w:color w:val="auto"/>
              </w:rPr>
              <w:t>South</w:t>
            </w:r>
          </w:p>
        </w:tc>
        <w:tc>
          <w:tcPr>
            <w:tcW w:w="2952" w:type="dxa"/>
          </w:tcPr>
          <w:p w14:paraId="04BCB29F" w14:textId="4E9B1A94" w:rsidR="00432715" w:rsidRPr="006C495D" w:rsidRDefault="00432715" w:rsidP="00B606ED">
            <w:pPr>
              <w:pStyle w:val="Heading2"/>
              <w:jc w:val="center"/>
              <w:outlineLvl w:val="1"/>
              <w:rPr>
                <w:b w:val="0"/>
                <w:bCs w:val="0"/>
                <w:color w:val="auto"/>
              </w:rPr>
            </w:pPr>
            <w:r w:rsidRPr="006C495D">
              <w:rPr>
                <w:b w:val="0"/>
                <w:bCs w:val="0"/>
                <w:color w:val="auto"/>
              </w:rPr>
              <w:t>108,495,907.22</w:t>
            </w:r>
          </w:p>
        </w:tc>
        <w:tc>
          <w:tcPr>
            <w:tcW w:w="2952" w:type="dxa"/>
          </w:tcPr>
          <w:p w14:paraId="561D35CF" w14:textId="129E79AA" w:rsidR="00432715" w:rsidRPr="006C495D" w:rsidRDefault="00432715" w:rsidP="00B606ED">
            <w:pPr>
              <w:pStyle w:val="Heading2"/>
              <w:jc w:val="center"/>
              <w:outlineLvl w:val="1"/>
              <w:rPr>
                <w:b w:val="0"/>
                <w:bCs w:val="0"/>
                <w:color w:val="auto"/>
              </w:rPr>
            </w:pPr>
            <w:r w:rsidRPr="006C495D">
              <w:rPr>
                <w:b w:val="0"/>
                <w:bCs w:val="0"/>
                <w:color w:val="auto"/>
              </w:rPr>
              <w:t>25.05%</w:t>
            </w:r>
          </w:p>
        </w:tc>
      </w:tr>
      <w:tr w:rsidR="00432715" w14:paraId="3B5F47C5" w14:textId="77777777" w:rsidTr="00432715">
        <w:tc>
          <w:tcPr>
            <w:tcW w:w="2952" w:type="dxa"/>
          </w:tcPr>
          <w:p w14:paraId="34647A1A" w14:textId="291B1DC2" w:rsidR="00432715" w:rsidRPr="006C495D" w:rsidRDefault="00432715" w:rsidP="00B606ED">
            <w:pPr>
              <w:pStyle w:val="Heading2"/>
              <w:jc w:val="center"/>
              <w:outlineLvl w:val="1"/>
              <w:rPr>
                <w:b w:val="0"/>
                <w:bCs w:val="0"/>
                <w:color w:val="auto"/>
              </w:rPr>
            </w:pPr>
            <w:r w:rsidRPr="006C495D">
              <w:rPr>
                <w:b w:val="0"/>
                <w:bCs w:val="0"/>
                <w:color w:val="auto"/>
              </w:rPr>
              <w:t>West</w:t>
            </w:r>
          </w:p>
        </w:tc>
        <w:tc>
          <w:tcPr>
            <w:tcW w:w="2952" w:type="dxa"/>
          </w:tcPr>
          <w:p w14:paraId="0DACF62A" w14:textId="16C40BE8" w:rsidR="00432715" w:rsidRPr="006C495D" w:rsidRDefault="00432715" w:rsidP="00B606ED">
            <w:pPr>
              <w:pStyle w:val="Heading2"/>
              <w:jc w:val="center"/>
              <w:outlineLvl w:val="1"/>
              <w:rPr>
                <w:b w:val="0"/>
                <w:bCs w:val="0"/>
                <w:color w:val="auto"/>
              </w:rPr>
            </w:pPr>
            <w:r w:rsidRPr="006C495D">
              <w:rPr>
                <w:b w:val="0"/>
                <w:bCs w:val="0"/>
                <w:color w:val="auto"/>
              </w:rPr>
              <w:t>105,187,214.17</w:t>
            </w:r>
          </w:p>
        </w:tc>
        <w:tc>
          <w:tcPr>
            <w:tcW w:w="2952" w:type="dxa"/>
          </w:tcPr>
          <w:p w14:paraId="3F6C5E02" w14:textId="5902EDB4" w:rsidR="00432715" w:rsidRPr="006C495D" w:rsidRDefault="00432715" w:rsidP="00B606ED">
            <w:pPr>
              <w:pStyle w:val="Heading2"/>
              <w:jc w:val="center"/>
              <w:outlineLvl w:val="1"/>
              <w:rPr>
                <w:b w:val="0"/>
                <w:bCs w:val="0"/>
                <w:color w:val="auto"/>
              </w:rPr>
            </w:pPr>
            <w:r w:rsidRPr="006C495D">
              <w:rPr>
                <w:b w:val="0"/>
                <w:bCs w:val="0"/>
                <w:color w:val="auto"/>
              </w:rPr>
              <w:t>24.29%</w:t>
            </w:r>
          </w:p>
        </w:tc>
      </w:tr>
    </w:tbl>
    <w:p w14:paraId="76DD59B4" w14:textId="77777777" w:rsidR="006C495D" w:rsidRPr="006C495D" w:rsidRDefault="006C495D" w:rsidP="006C495D"/>
    <w:p w14:paraId="37BC4D4F" w14:textId="5A47E639" w:rsidR="00AD0B49" w:rsidRDefault="00AD0B49">
      <w:pPr>
        <w:pStyle w:val="Heading2"/>
      </w:pPr>
    </w:p>
    <w:tbl>
      <w:tblPr>
        <w:tblW w:w="0" w:type="auto"/>
        <w:tblLook w:val="04A0" w:firstRow="1" w:lastRow="0" w:firstColumn="1" w:lastColumn="0" w:noHBand="0" w:noVBand="1"/>
      </w:tblPr>
      <w:tblGrid>
        <w:gridCol w:w="2880"/>
        <w:gridCol w:w="2880"/>
        <w:gridCol w:w="2880"/>
      </w:tblGrid>
      <w:tr w:rsidR="00AD0B49" w14:paraId="67598978" w14:textId="77777777">
        <w:tc>
          <w:tcPr>
            <w:tcW w:w="2880" w:type="dxa"/>
          </w:tcPr>
          <w:p w14:paraId="4DEEA8DD" w14:textId="32C33EB8" w:rsidR="00AD0B49" w:rsidRDefault="00AD0B49"/>
        </w:tc>
        <w:tc>
          <w:tcPr>
            <w:tcW w:w="2880" w:type="dxa"/>
          </w:tcPr>
          <w:p w14:paraId="57D105F8" w14:textId="79F26512" w:rsidR="00AD0B49" w:rsidRDefault="00AD0B49"/>
        </w:tc>
        <w:tc>
          <w:tcPr>
            <w:tcW w:w="2880" w:type="dxa"/>
          </w:tcPr>
          <w:p w14:paraId="08DED337" w14:textId="65613DC2" w:rsidR="00AD0B49" w:rsidRDefault="00AD0B49"/>
        </w:tc>
      </w:tr>
      <w:tr w:rsidR="00AD0B49" w14:paraId="204B774B" w14:textId="77777777">
        <w:tc>
          <w:tcPr>
            <w:tcW w:w="2880" w:type="dxa"/>
          </w:tcPr>
          <w:p w14:paraId="70FBAC0A" w14:textId="747C4885" w:rsidR="00AD0B49" w:rsidRDefault="00AD0B49"/>
        </w:tc>
        <w:tc>
          <w:tcPr>
            <w:tcW w:w="2880" w:type="dxa"/>
          </w:tcPr>
          <w:p w14:paraId="0203E79C" w14:textId="3337D44B" w:rsidR="00AD0B49" w:rsidRDefault="00AD0B49"/>
        </w:tc>
        <w:tc>
          <w:tcPr>
            <w:tcW w:w="2880" w:type="dxa"/>
          </w:tcPr>
          <w:p w14:paraId="6AD8F568" w14:textId="3D7D705A" w:rsidR="00AD0B49" w:rsidRDefault="00AD0B49"/>
        </w:tc>
      </w:tr>
      <w:tr w:rsidR="00AD0B49" w14:paraId="695697CC" w14:textId="77777777">
        <w:tc>
          <w:tcPr>
            <w:tcW w:w="2880" w:type="dxa"/>
          </w:tcPr>
          <w:p w14:paraId="0A2C4101" w14:textId="7CA914EA" w:rsidR="00AD0B49" w:rsidRDefault="00AD0B49"/>
        </w:tc>
        <w:tc>
          <w:tcPr>
            <w:tcW w:w="2880" w:type="dxa"/>
          </w:tcPr>
          <w:p w14:paraId="5EC68526" w14:textId="79C02208" w:rsidR="00AD0B49" w:rsidRDefault="00AD0B49"/>
        </w:tc>
        <w:tc>
          <w:tcPr>
            <w:tcW w:w="2880" w:type="dxa"/>
          </w:tcPr>
          <w:p w14:paraId="00EEEF15" w14:textId="6ED90D95" w:rsidR="00AD0B49" w:rsidRDefault="00AD0B49"/>
        </w:tc>
      </w:tr>
      <w:tr w:rsidR="00AD0B49" w14:paraId="7C06FA03" w14:textId="77777777">
        <w:tc>
          <w:tcPr>
            <w:tcW w:w="2880" w:type="dxa"/>
          </w:tcPr>
          <w:p w14:paraId="3A0A5C88" w14:textId="4EB9D441" w:rsidR="00AD0B49" w:rsidRDefault="00AD0B49"/>
        </w:tc>
        <w:tc>
          <w:tcPr>
            <w:tcW w:w="2880" w:type="dxa"/>
          </w:tcPr>
          <w:p w14:paraId="3A8C902B" w14:textId="38D49669" w:rsidR="00AD0B49" w:rsidRDefault="00AD0B49"/>
        </w:tc>
        <w:tc>
          <w:tcPr>
            <w:tcW w:w="2880" w:type="dxa"/>
          </w:tcPr>
          <w:p w14:paraId="3D839564" w14:textId="0B3886F7" w:rsidR="00AD0B49" w:rsidRDefault="00AD0B49"/>
        </w:tc>
      </w:tr>
      <w:tr w:rsidR="00AD0B49" w14:paraId="2E365DFA" w14:textId="77777777">
        <w:tc>
          <w:tcPr>
            <w:tcW w:w="2880" w:type="dxa"/>
          </w:tcPr>
          <w:p w14:paraId="32B23961" w14:textId="2951FEB5" w:rsidR="00AD0B49" w:rsidRDefault="00AD0B49"/>
        </w:tc>
        <w:tc>
          <w:tcPr>
            <w:tcW w:w="2880" w:type="dxa"/>
          </w:tcPr>
          <w:p w14:paraId="7A50147A" w14:textId="71C1115D" w:rsidR="00AD0B49" w:rsidRDefault="00AD0B49"/>
        </w:tc>
        <w:tc>
          <w:tcPr>
            <w:tcW w:w="2880" w:type="dxa"/>
          </w:tcPr>
          <w:p w14:paraId="6D2E8F25" w14:textId="5D6724FD" w:rsidR="00AD0B49" w:rsidRDefault="00AD0B49"/>
        </w:tc>
      </w:tr>
    </w:tbl>
    <w:p w14:paraId="76C00A12" w14:textId="38C35E43" w:rsidR="00AD0B49" w:rsidRPr="00FE4B2D" w:rsidRDefault="00446F3A">
      <w:pPr>
        <w:pStyle w:val="Heading2"/>
        <w:rPr>
          <w:sz w:val="28"/>
          <w:szCs w:val="28"/>
        </w:rPr>
      </w:pPr>
      <w:r w:rsidRPr="00FE4B2D">
        <w:rPr>
          <w:sz w:val="28"/>
          <w:szCs w:val="28"/>
        </w:rPr>
        <w:t>Top 10 Products by Revenue</w:t>
      </w:r>
    </w:p>
    <w:tbl>
      <w:tblPr>
        <w:tblStyle w:val="TableGrid"/>
        <w:tblW w:w="8886" w:type="dxa"/>
        <w:tblLook w:val="04A0" w:firstRow="1" w:lastRow="0" w:firstColumn="1" w:lastColumn="0" w:noHBand="0" w:noVBand="1"/>
      </w:tblPr>
      <w:tblGrid>
        <w:gridCol w:w="2962"/>
        <w:gridCol w:w="2962"/>
        <w:gridCol w:w="2962"/>
      </w:tblGrid>
      <w:tr w:rsidR="00FE4B2D" w14:paraId="6455E4CB" w14:textId="77777777" w:rsidTr="00D17E91">
        <w:trPr>
          <w:trHeight w:val="620"/>
        </w:trPr>
        <w:tc>
          <w:tcPr>
            <w:tcW w:w="2962" w:type="dxa"/>
          </w:tcPr>
          <w:p w14:paraId="12D0F4A8" w14:textId="0B31C157" w:rsidR="00FE4B2D" w:rsidRPr="00D17E91" w:rsidRDefault="00FE4B2D" w:rsidP="00D17E91">
            <w:pPr>
              <w:jc w:val="center"/>
              <w:rPr>
                <w:b/>
                <w:bCs/>
                <w:color w:val="548DD4" w:themeColor="text2" w:themeTint="99"/>
                <w:sz w:val="28"/>
                <w:szCs w:val="28"/>
              </w:rPr>
            </w:pPr>
            <w:r w:rsidRPr="00D17E91">
              <w:rPr>
                <w:b/>
                <w:bCs/>
                <w:color w:val="548DD4" w:themeColor="text2" w:themeTint="99"/>
                <w:sz w:val="28"/>
                <w:szCs w:val="28"/>
              </w:rPr>
              <w:t>Product</w:t>
            </w:r>
          </w:p>
        </w:tc>
        <w:tc>
          <w:tcPr>
            <w:tcW w:w="2962" w:type="dxa"/>
          </w:tcPr>
          <w:p w14:paraId="75469D61" w14:textId="1A8D7C55" w:rsidR="00FE4B2D" w:rsidRPr="00D17E91" w:rsidRDefault="00FE4B2D" w:rsidP="00D17E91">
            <w:pPr>
              <w:jc w:val="center"/>
              <w:rPr>
                <w:b/>
                <w:bCs/>
                <w:color w:val="548DD4" w:themeColor="text2" w:themeTint="99"/>
                <w:sz w:val="28"/>
                <w:szCs w:val="28"/>
              </w:rPr>
            </w:pPr>
            <w:r w:rsidRPr="00D17E91">
              <w:rPr>
                <w:b/>
                <w:bCs/>
                <w:color w:val="548DD4" w:themeColor="text2" w:themeTint="99"/>
                <w:sz w:val="28"/>
                <w:szCs w:val="28"/>
              </w:rPr>
              <w:t>Total Revenue</w:t>
            </w:r>
            <w:r w:rsidR="00D17E91" w:rsidRPr="00D17E91">
              <w:rPr>
                <w:b/>
                <w:bCs/>
                <w:color w:val="548DD4" w:themeColor="text2" w:themeTint="99"/>
                <w:sz w:val="28"/>
                <w:szCs w:val="28"/>
              </w:rPr>
              <w:t xml:space="preserve"> </w:t>
            </w:r>
            <w:r w:rsidRPr="00D17E91">
              <w:rPr>
                <w:b/>
                <w:bCs/>
                <w:color w:val="548DD4" w:themeColor="text2" w:themeTint="99"/>
                <w:sz w:val="28"/>
                <w:szCs w:val="28"/>
              </w:rPr>
              <w:t>($)</w:t>
            </w:r>
          </w:p>
        </w:tc>
        <w:tc>
          <w:tcPr>
            <w:tcW w:w="2962" w:type="dxa"/>
          </w:tcPr>
          <w:p w14:paraId="311095F7" w14:textId="40E79B4D" w:rsidR="00FE4B2D" w:rsidRPr="00D17E91" w:rsidRDefault="00FE4B2D" w:rsidP="00D17E91">
            <w:pPr>
              <w:jc w:val="center"/>
              <w:rPr>
                <w:b/>
                <w:bCs/>
                <w:color w:val="548DD4" w:themeColor="text2" w:themeTint="99"/>
                <w:sz w:val="28"/>
                <w:szCs w:val="28"/>
              </w:rPr>
            </w:pPr>
            <w:r w:rsidRPr="00D17E91">
              <w:rPr>
                <w:b/>
                <w:bCs/>
                <w:color w:val="548DD4" w:themeColor="text2" w:themeTint="99"/>
                <w:sz w:val="28"/>
                <w:szCs w:val="28"/>
              </w:rPr>
              <w:t>Contribution</w:t>
            </w:r>
            <w:r w:rsidR="00D17E91" w:rsidRPr="00D17E91">
              <w:rPr>
                <w:b/>
                <w:bCs/>
                <w:color w:val="548DD4" w:themeColor="text2" w:themeTint="99"/>
                <w:sz w:val="28"/>
                <w:szCs w:val="28"/>
              </w:rPr>
              <w:t xml:space="preserve"> (%)</w:t>
            </w:r>
          </w:p>
        </w:tc>
      </w:tr>
      <w:tr w:rsidR="00FE4B2D" w14:paraId="07147AF6" w14:textId="77777777" w:rsidTr="00FE4B2D">
        <w:trPr>
          <w:trHeight w:val="439"/>
        </w:trPr>
        <w:tc>
          <w:tcPr>
            <w:tcW w:w="2962" w:type="dxa"/>
          </w:tcPr>
          <w:p w14:paraId="4E372533" w14:textId="19223BAA" w:rsidR="00FE4B2D" w:rsidRDefault="00ED7C27" w:rsidP="00D17E91">
            <w:pPr>
              <w:jc w:val="center"/>
            </w:pPr>
            <w:r w:rsidRPr="00ED7C27">
              <w:t>Dress</w:t>
            </w:r>
          </w:p>
        </w:tc>
        <w:tc>
          <w:tcPr>
            <w:tcW w:w="2962" w:type="dxa"/>
          </w:tcPr>
          <w:p w14:paraId="349AED1F" w14:textId="23A475D8" w:rsidR="00FE4B2D" w:rsidRDefault="00ED7C27" w:rsidP="00D17E91">
            <w:pPr>
              <w:jc w:val="center"/>
            </w:pPr>
            <w:r w:rsidRPr="00ED7C27">
              <w:t>22,784,094.53</w:t>
            </w:r>
          </w:p>
        </w:tc>
        <w:tc>
          <w:tcPr>
            <w:tcW w:w="2962" w:type="dxa"/>
          </w:tcPr>
          <w:p w14:paraId="36877EB3" w14:textId="018390E8" w:rsidR="00FE4B2D" w:rsidRDefault="00FE4B2D" w:rsidP="00D17E91">
            <w:pPr>
              <w:jc w:val="center"/>
            </w:pPr>
            <w:r w:rsidRPr="00FE4B2D">
              <w:t>5.26%</w:t>
            </w:r>
          </w:p>
        </w:tc>
      </w:tr>
      <w:tr w:rsidR="00FE4B2D" w14:paraId="12CA11A4" w14:textId="77777777" w:rsidTr="00FE4B2D">
        <w:trPr>
          <w:trHeight w:val="439"/>
        </w:trPr>
        <w:tc>
          <w:tcPr>
            <w:tcW w:w="2962" w:type="dxa"/>
          </w:tcPr>
          <w:p w14:paraId="7F89D43A" w14:textId="62C253F0" w:rsidR="00FE4B2D" w:rsidRDefault="00ED7C27" w:rsidP="00D17E91">
            <w:pPr>
              <w:jc w:val="center"/>
            </w:pPr>
            <w:r w:rsidRPr="00ED7C27">
              <w:t>Smartphone</w:t>
            </w:r>
          </w:p>
        </w:tc>
        <w:tc>
          <w:tcPr>
            <w:tcW w:w="2962" w:type="dxa"/>
          </w:tcPr>
          <w:p w14:paraId="659FADC7" w14:textId="77499BB5" w:rsidR="00FE4B2D" w:rsidRDefault="00ED7C27" w:rsidP="00D17E91">
            <w:pPr>
              <w:jc w:val="center"/>
            </w:pPr>
            <w:r w:rsidRPr="00ED7C27">
              <w:t>22,592,254.72</w:t>
            </w:r>
          </w:p>
        </w:tc>
        <w:tc>
          <w:tcPr>
            <w:tcW w:w="2962" w:type="dxa"/>
          </w:tcPr>
          <w:p w14:paraId="39DA9D1C" w14:textId="288BA441" w:rsidR="00FE4B2D" w:rsidRDefault="00FE4B2D" w:rsidP="00D17E91">
            <w:pPr>
              <w:jc w:val="center"/>
            </w:pPr>
            <w:r w:rsidRPr="00FE4B2D">
              <w:t>5.22%</w:t>
            </w:r>
          </w:p>
        </w:tc>
      </w:tr>
      <w:tr w:rsidR="00FE4B2D" w14:paraId="47C1A402" w14:textId="77777777" w:rsidTr="00FE4B2D">
        <w:trPr>
          <w:trHeight w:val="413"/>
        </w:trPr>
        <w:tc>
          <w:tcPr>
            <w:tcW w:w="2962" w:type="dxa"/>
          </w:tcPr>
          <w:p w14:paraId="31FB2092" w14:textId="476A81B6" w:rsidR="00FE4B2D" w:rsidRDefault="00ED7C27" w:rsidP="00D17E91">
            <w:pPr>
              <w:jc w:val="center"/>
            </w:pPr>
            <w:r w:rsidRPr="00ED7C27">
              <w:lastRenderedPageBreak/>
              <w:t>Pencil</w:t>
            </w:r>
          </w:p>
        </w:tc>
        <w:tc>
          <w:tcPr>
            <w:tcW w:w="2962" w:type="dxa"/>
          </w:tcPr>
          <w:p w14:paraId="0A1D496C" w14:textId="5CDA93F5" w:rsidR="00FE4B2D" w:rsidRDefault="00ED7C27" w:rsidP="00D17E91">
            <w:pPr>
              <w:jc w:val="center"/>
            </w:pPr>
            <w:r w:rsidRPr="00ED7C27">
              <w:t>22,521,509.88</w:t>
            </w:r>
          </w:p>
        </w:tc>
        <w:tc>
          <w:tcPr>
            <w:tcW w:w="2962" w:type="dxa"/>
          </w:tcPr>
          <w:p w14:paraId="2096798C" w14:textId="05717AF2" w:rsidR="00FE4B2D" w:rsidRDefault="00FE4B2D" w:rsidP="00D17E91">
            <w:pPr>
              <w:jc w:val="center"/>
            </w:pPr>
            <w:r w:rsidRPr="00FE4B2D">
              <w:t>5.20%</w:t>
            </w:r>
          </w:p>
        </w:tc>
      </w:tr>
      <w:tr w:rsidR="00FE4B2D" w14:paraId="711B81AB" w14:textId="77777777" w:rsidTr="00FE4B2D">
        <w:trPr>
          <w:trHeight w:val="439"/>
        </w:trPr>
        <w:tc>
          <w:tcPr>
            <w:tcW w:w="2962" w:type="dxa"/>
          </w:tcPr>
          <w:p w14:paraId="794255BC" w14:textId="24B14BB9" w:rsidR="00FE4B2D" w:rsidRDefault="00ED7C27" w:rsidP="00D17E91">
            <w:pPr>
              <w:jc w:val="center"/>
            </w:pPr>
            <w:r w:rsidRPr="00ED7C27">
              <w:t>Notebook</w:t>
            </w:r>
          </w:p>
        </w:tc>
        <w:tc>
          <w:tcPr>
            <w:tcW w:w="2962" w:type="dxa"/>
          </w:tcPr>
          <w:p w14:paraId="00DFF53A" w14:textId="3955C5A3" w:rsidR="00FE4B2D" w:rsidRDefault="00ED7C27" w:rsidP="00D17E91">
            <w:pPr>
              <w:jc w:val="center"/>
            </w:pPr>
            <w:r w:rsidRPr="00ED7C27">
              <w:t>22,455,247.47</w:t>
            </w:r>
          </w:p>
        </w:tc>
        <w:tc>
          <w:tcPr>
            <w:tcW w:w="2962" w:type="dxa"/>
          </w:tcPr>
          <w:p w14:paraId="2ACF6326" w14:textId="7D700BEB" w:rsidR="00FE4B2D" w:rsidRDefault="00FE4B2D" w:rsidP="00D17E91">
            <w:pPr>
              <w:jc w:val="center"/>
            </w:pPr>
            <w:r w:rsidRPr="00FE4B2D">
              <w:t>5.19%</w:t>
            </w:r>
          </w:p>
        </w:tc>
      </w:tr>
      <w:tr w:rsidR="00FE4B2D" w14:paraId="08D843CC" w14:textId="77777777" w:rsidTr="00FE4B2D">
        <w:trPr>
          <w:trHeight w:val="439"/>
        </w:trPr>
        <w:tc>
          <w:tcPr>
            <w:tcW w:w="2962" w:type="dxa"/>
          </w:tcPr>
          <w:p w14:paraId="37BDF25B" w14:textId="522A0695" w:rsidR="00FE4B2D" w:rsidRDefault="00ED7C27" w:rsidP="00D17E91">
            <w:pPr>
              <w:jc w:val="center"/>
            </w:pPr>
            <w:r w:rsidRPr="00ED7C27">
              <w:t>Laptop</w:t>
            </w:r>
          </w:p>
        </w:tc>
        <w:tc>
          <w:tcPr>
            <w:tcW w:w="2962" w:type="dxa"/>
          </w:tcPr>
          <w:p w14:paraId="0D074F60" w14:textId="0EBF03DD" w:rsidR="00FE4B2D" w:rsidRDefault="00ED7C27" w:rsidP="00D17E91">
            <w:pPr>
              <w:jc w:val="center"/>
            </w:pPr>
            <w:r w:rsidRPr="00ED7C27">
              <w:t>22,375,902.85</w:t>
            </w:r>
          </w:p>
        </w:tc>
        <w:tc>
          <w:tcPr>
            <w:tcW w:w="2962" w:type="dxa"/>
          </w:tcPr>
          <w:p w14:paraId="6C7CBFD5" w14:textId="6E676FEF" w:rsidR="00FE4B2D" w:rsidRDefault="00FE4B2D" w:rsidP="00D17E91">
            <w:pPr>
              <w:jc w:val="center"/>
            </w:pPr>
            <w:r w:rsidRPr="00FE4B2D">
              <w:t>5.17%</w:t>
            </w:r>
          </w:p>
        </w:tc>
      </w:tr>
      <w:tr w:rsidR="00FE4B2D" w14:paraId="3E83543A" w14:textId="77777777" w:rsidTr="00FE4B2D">
        <w:trPr>
          <w:trHeight w:val="439"/>
        </w:trPr>
        <w:tc>
          <w:tcPr>
            <w:tcW w:w="2962" w:type="dxa"/>
          </w:tcPr>
          <w:p w14:paraId="6BAD8E7F" w14:textId="52A34C12" w:rsidR="00FE4B2D" w:rsidRDefault="00ED7C27" w:rsidP="00D17E91">
            <w:pPr>
              <w:jc w:val="center"/>
            </w:pPr>
            <w:r w:rsidRPr="00ED7C27">
              <w:t>Milk</w:t>
            </w:r>
          </w:p>
        </w:tc>
        <w:tc>
          <w:tcPr>
            <w:tcW w:w="2962" w:type="dxa"/>
          </w:tcPr>
          <w:p w14:paraId="7C409079" w14:textId="71D76E8E" w:rsidR="00FE4B2D" w:rsidRDefault="00ED7C27" w:rsidP="00ED7C27">
            <w:pPr>
              <w:ind w:firstLine="720"/>
            </w:pPr>
            <w:r w:rsidRPr="00ED7C27">
              <w:t>22,365,469.07</w:t>
            </w:r>
          </w:p>
        </w:tc>
        <w:tc>
          <w:tcPr>
            <w:tcW w:w="2962" w:type="dxa"/>
          </w:tcPr>
          <w:p w14:paraId="53F3795A" w14:textId="6A7DB48D" w:rsidR="00FE4B2D" w:rsidRDefault="00FE4B2D" w:rsidP="00D17E91">
            <w:pPr>
              <w:jc w:val="center"/>
            </w:pPr>
            <w:r w:rsidRPr="00FE4B2D">
              <w:t>5.16%</w:t>
            </w:r>
          </w:p>
        </w:tc>
      </w:tr>
      <w:tr w:rsidR="00FE4B2D" w14:paraId="0B6AAF5A" w14:textId="77777777" w:rsidTr="00FE4B2D">
        <w:trPr>
          <w:trHeight w:val="439"/>
        </w:trPr>
        <w:tc>
          <w:tcPr>
            <w:tcW w:w="2962" w:type="dxa"/>
          </w:tcPr>
          <w:p w14:paraId="4F430970" w14:textId="7494E5D8" w:rsidR="00FE4B2D" w:rsidRDefault="00D17E91" w:rsidP="00D17E91">
            <w:pPr>
              <w:jc w:val="center"/>
            </w:pPr>
            <w:r w:rsidRPr="00D17E91">
              <w:t>Marker</w:t>
            </w:r>
          </w:p>
        </w:tc>
        <w:tc>
          <w:tcPr>
            <w:tcW w:w="2962" w:type="dxa"/>
          </w:tcPr>
          <w:p w14:paraId="59CDFBC2" w14:textId="2B9E704E" w:rsidR="00FE4B2D" w:rsidRDefault="00ED7C27" w:rsidP="00FE4B2D">
            <w:r w:rsidRPr="00ED7C27">
              <w:tab/>
              <w:t>22,209,718.30</w:t>
            </w:r>
          </w:p>
        </w:tc>
        <w:tc>
          <w:tcPr>
            <w:tcW w:w="2962" w:type="dxa"/>
          </w:tcPr>
          <w:p w14:paraId="4E4014CC" w14:textId="5ABD454F" w:rsidR="00FE4B2D" w:rsidRDefault="00FE4B2D" w:rsidP="00D17E91">
            <w:pPr>
              <w:jc w:val="center"/>
            </w:pPr>
            <w:r w:rsidRPr="00FE4B2D">
              <w:t>5.13%</w:t>
            </w:r>
          </w:p>
        </w:tc>
      </w:tr>
      <w:tr w:rsidR="00FE4B2D" w14:paraId="6A11FE21" w14:textId="77777777" w:rsidTr="00FE4B2D">
        <w:trPr>
          <w:trHeight w:val="439"/>
        </w:trPr>
        <w:tc>
          <w:tcPr>
            <w:tcW w:w="2962" w:type="dxa"/>
          </w:tcPr>
          <w:p w14:paraId="16D5CFFD" w14:textId="0F428496" w:rsidR="00FE4B2D" w:rsidRDefault="00D17E91" w:rsidP="00D17E91">
            <w:pPr>
              <w:jc w:val="center"/>
            </w:pPr>
            <w:r w:rsidRPr="00D17E91">
              <w:t>Camera</w:t>
            </w:r>
          </w:p>
        </w:tc>
        <w:tc>
          <w:tcPr>
            <w:tcW w:w="2962" w:type="dxa"/>
          </w:tcPr>
          <w:p w14:paraId="2398CA8B" w14:textId="6DB50BAF" w:rsidR="00FE4B2D" w:rsidRDefault="00ED7C27" w:rsidP="00D17E91">
            <w:pPr>
              <w:jc w:val="center"/>
            </w:pPr>
            <w:r w:rsidRPr="00ED7C27">
              <w:t>22,122,568.35</w:t>
            </w:r>
          </w:p>
        </w:tc>
        <w:tc>
          <w:tcPr>
            <w:tcW w:w="2962" w:type="dxa"/>
          </w:tcPr>
          <w:p w14:paraId="379F01BA" w14:textId="0FFF3950" w:rsidR="00FE4B2D" w:rsidRDefault="00ED7C27" w:rsidP="00D17E91">
            <w:pPr>
              <w:jc w:val="center"/>
            </w:pPr>
            <w:r w:rsidRPr="00ED7C27">
              <w:t>5.11%</w:t>
            </w:r>
          </w:p>
        </w:tc>
      </w:tr>
      <w:tr w:rsidR="00FE4B2D" w14:paraId="762C45DD" w14:textId="77777777" w:rsidTr="00FE4B2D">
        <w:trPr>
          <w:trHeight w:val="439"/>
        </w:trPr>
        <w:tc>
          <w:tcPr>
            <w:tcW w:w="2962" w:type="dxa"/>
          </w:tcPr>
          <w:p w14:paraId="4F4F35B8" w14:textId="05E51E60" w:rsidR="00FE4B2D" w:rsidRDefault="00D17E91" w:rsidP="00D17E91">
            <w:pPr>
              <w:jc w:val="center"/>
            </w:pPr>
            <w:r w:rsidRPr="00D17E91">
              <w:t>Chair</w:t>
            </w:r>
          </w:p>
        </w:tc>
        <w:tc>
          <w:tcPr>
            <w:tcW w:w="2962" w:type="dxa"/>
          </w:tcPr>
          <w:p w14:paraId="2CCCA5BE" w14:textId="76A4ACCF" w:rsidR="00FE4B2D" w:rsidRDefault="00ED7C27" w:rsidP="00D17E91">
            <w:pPr>
              <w:jc w:val="center"/>
            </w:pPr>
            <w:r w:rsidRPr="00ED7C27">
              <w:t>22,101,535.78</w:t>
            </w:r>
          </w:p>
        </w:tc>
        <w:tc>
          <w:tcPr>
            <w:tcW w:w="2962" w:type="dxa"/>
          </w:tcPr>
          <w:p w14:paraId="41FF31F4" w14:textId="228BC5A8" w:rsidR="00FE4B2D" w:rsidRDefault="00ED7C27" w:rsidP="00D17E91">
            <w:pPr>
              <w:jc w:val="center"/>
            </w:pPr>
            <w:r w:rsidRPr="00ED7C27">
              <w:t>5.10%</w:t>
            </w:r>
          </w:p>
        </w:tc>
      </w:tr>
      <w:tr w:rsidR="00FE4B2D" w14:paraId="6ECE71BE" w14:textId="77777777" w:rsidTr="00FE4B2D">
        <w:trPr>
          <w:trHeight w:val="413"/>
        </w:trPr>
        <w:tc>
          <w:tcPr>
            <w:tcW w:w="2962" w:type="dxa"/>
          </w:tcPr>
          <w:p w14:paraId="1B812287" w14:textId="79EF8381" w:rsidR="00FE4B2D" w:rsidRDefault="00D17E91" w:rsidP="00D17E91">
            <w:pPr>
              <w:jc w:val="center"/>
            </w:pPr>
            <w:r w:rsidRPr="00D17E91">
              <w:t>Bread</w:t>
            </w:r>
          </w:p>
        </w:tc>
        <w:tc>
          <w:tcPr>
            <w:tcW w:w="2962" w:type="dxa"/>
          </w:tcPr>
          <w:p w14:paraId="4416569B" w14:textId="41CAFEF9" w:rsidR="00FE4B2D" w:rsidRDefault="00ED7C27" w:rsidP="00D17E91">
            <w:pPr>
              <w:jc w:val="center"/>
            </w:pPr>
            <w:r w:rsidRPr="00ED7C27">
              <w:t>21,941,122.25</w:t>
            </w:r>
          </w:p>
        </w:tc>
        <w:tc>
          <w:tcPr>
            <w:tcW w:w="2962" w:type="dxa"/>
          </w:tcPr>
          <w:p w14:paraId="28054FAD" w14:textId="461CF39A" w:rsidR="00FE4B2D" w:rsidRDefault="00ED7C27" w:rsidP="00D17E91">
            <w:pPr>
              <w:jc w:val="center"/>
            </w:pPr>
            <w:r w:rsidRPr="00ED7C27">
              <w:t>5.07%</w:t>
            </w:r>
          </w:p>
        </w:tc>
      </w:tr>
    </w:tbl>
    <w:p w14:paraId="3A03F473" w14:textId="77777777" w:rsidR="00FE4B2D" w:rsidRPr="00FE4B2D" w:rsidRDefault="00FE4B2D" w:rsidP="00FE4B2D"/>
    <w:p w14:paraId="738E1546" w14:textId="430863BE" w:rsidR="00066C51" w:rsidRDefault="00600BCE">
      <w:pPr>
        <w:pStyle w:val="Heading2"/>
      </w:pPr>
      <w:r>
        <w:pict w14:anchorId="36B11892">
          <v:rect id="_x0000_i1033" style="width:0;height:1.5pt" o:hralign="center" o:hrstd="t" o:hr="t" fillcolor="#a0a0a0" stroked="f"/>
        </w:pict>
      </w:r>
    </w:p>
    <w:p w14:paraId="203570A2" w14:textId="13530907" w:rsidR="00AD0B49" w:rsidRDefault="00922742">
      <w:pPr>
        <w:pStyle w:val="Heading2"/>
      </w:pPr>
      <w:r>
        <w:t>Insights</w:t>
      </w:r>
    </w:p>
    <w:p w14:paraId="3D2EAE39" w14:textId="77777777" w:rsidR="00AD0B49" w:rsidRDefault="00922742">
      <w:r>
        <w:t>• The highest revenue-generating region leads company-wide sales, indicating strong market penetration.</w:t>
      </w:r>
      <w:r>
        <w:br/>
        <w:t>• Top-performing products follow the 80/20 principle, contributing the majority of total revenue.</w:t>
      </w:r>
      <w:r>
        <w:br/>
        <w:t>• Revenue distribution across regions shows opportunities for growth in underperforming territories.</w:t>
      </w:r>
      <w:r>
        <w:br/>
        <w:t>• Overall profitability aligns closely with sales concentration, suggesting efficient cost control in key markets.</w:t>
      </w:r>
    </w:p>
    <w:sectPr w:rsidR="00AD0B4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0770" w14:textId="77777777" w:rsidR="00600BCE" w:rsidRDefault="00600BCE" w:rsidP="00B606ED">
      <w:pPr>
        <w:spacing w:after="0" w:line="240" w:lineRule="auto"/>
      </w:pPr>
      <w:r>
        <w:separator/>
      </w:r>
    </w:p>
  </w:endnote>
  <w:endnote w:type="continuationSeparator" w:id="0">
    <w:p w14:paraId="791CBBD6" w14:textId="77777777" w:rsidR="00600BCE" w:rsidRDefault="00600BCE" w:rsidP="00B6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36DAE" w14:textId="77777777" w:rsidR="00600BCE" w:rsidRDefault="00600BCE" w:rsidP="00B606ED">
      <w:pPr>
        <w:spacing w:after="0" w:line="240" w:lineRule="auto"/>
      </w:pPr>
      <w:r>
        <w:separator/>
      </w:r>
    </w:p>
  </w:footnote>
  <w:footnote w:type="continuationSeparator" w:id="0">
    <w:p w14:paraId="57EB81DB" w14:textId="77777777" w:rsidR="00600BCE" w:rsidRDefault="00600BCE" w:rsidP="00B60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5E7EE4"/>
    <w:multiLevelType w:val="hybridMultilevel"/>
    <w:tmpl w:val="694E3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023F93"/>
    <w:multiLevelType w:val="hybridMultilevel"/>
    <w:tmpl w:val="852E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51"/>
    <w:rsid w:val="00073102"/>
    <w:rsid w:val="0015074B"/>
    <w:rsid w:val="001F36B9"/>
    <w:rsid w:val="0029639D"/>
    <w:rsid w:val="00326F90"/>
    <w:rsid w:val="00382914"/>
    <w:rsid w:val="00432715"/>
    <w:rsid w:val="00446F3A"/>
    <w:rsid w:val="00561EA7"/>
    <w:rsid w:val="00600BCE"/>
    <w:rsid w:val="006C495D"/>
    <w:rsid w:val="007E50F3"/>
    <w:rsid w:val="008D05A9"/>
    <w:rsid w:val="00906147"/>
    <w:rsid w:val="00922742"/>
    <w:rsid w:val="00AA1D8D"/>
    <w:rsid w:val="00AD0B49"/>
    <w:rsid w:val="00B47730"/>
    <w:rsid w:val="00B606ED"/>
    <w:rsid w:val="00CB0664"/>
    <w:rsid w:val="00CF0759"/>
    <w:rsid w:val="00D17E91"/>
    <w:rsid w:val="00D24681"/>
    <w:rsid w:val="00D44ADE"/>
    <w:rsid w:val="00EB46D7"/>
    <w:rsid w:val="00ED7C27"/>
    <w:rsid w:val="00FC693F"/>
    <w:rsid w:val="00FE4B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A3D259"/>
  <w14:defaultImageDpi w14:val="300"/>
  <w15:docId w15:val="{4A083303-DA11-494C-AC43-609BD425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Normal"/>
    <w:uiPriority w:val="40"/>
    <w:qFormat/>
    <w:rsid w:val="00D24681"/>
    <w:pPr>
      <w:tabs>
        <w:tab w:val="decimal" w:pos="360"/>
      </w:tabs>
    </w:pPr>
    <w:rPr>
      <w:rFonts w:cs="Times New Roman"/>
    </w:rPr>
  </w:style>
  <w:style w:type="paragraph" w:styleId="FootnoteText">
    <w:name w:val="footnote text"/>
    <w:basedOn w:val="Normal"/>
    <w:link w:val="FootnoteTextChar"/>
    <w:uiPriority w:val="99"/>
    <w:unhideWhenUsed/>
    <w:rsid w:val="00D24681"/>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D24681"/>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833</Words>
  <Characters>5573</Characters>
  <Application>Microsoft Office Word</Application>
  <DocSecurity>0</DocSecurity>
  <Lines>199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2025-11-04T18:24:00Z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e7ca2548-b63d-4a84-b93e-f2c7627a3683</vt:lpwstr>
  </property>
</Properties>
</file>