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80" w:line="360"/>
      </w:pPr>
      <w:r>
        <w:t xml:space="preserve">1	Einleitung</w:t>
      </w:r>
    </w:p>
    <w:p>
      <w:pPr>
        <w:pStyle w:val="Heading2"/>
        <w:spacing w:after="120" w:before="200" w:line="360"/>
      </w:pPr>
      <w:r>
        <w:t xml:space="preserve">1.1	Projektbeschreibung</w:t>
      </w:r>
    </w:p>
    <w:p>
      <w:pPr>
        <w:spacing w:after="120" w:before="0" w:line="360"/>
        <w:jc w:val="both"/>
      </w:pPr>
      <w:r>
        <w:t>In der DOIT-Projektphase der SRH Beruflichen Rehabilitation GmbH entstand eine Desktop-Anwendung für die Lagerverwaltung von medizinischem Verbrauchsmaterial im Krankenhaus – etwa Verbandsmaterial, Spritzen oder Einmalhandschuhe. Umgesetzt wurde sie mit Java 17 und JavaFX für die Oberfläche, die Daten liegen in einer MySQL-Datenbank. Die Anwendung läuft lokal als Einzelplatzlösung und kommt ohne Internetanbindung aus.</w:t>
      </w:r>
    </w:p>
    <w:p>
      <w:pPr>
        <w:spacing w:after="120" w:before="0" w:line="360"/>
        <w:jc w:val="both"/>
      </w:pPr>
      <w:r>
        <w:t>Das Personal sieht damit jederzeit, welche Bestände auf den einzelnen Stationen vorhanden sind. Wird ein Material knapp, weist die Anwendung darauf hin; jede Ein- und Ausbuchung wird protokolliert.</w:t>
      </w:r>
    </w:p>
    <w:p>
      <w:pPr>
        <w:pStyle w:val="Heading2"/>
        <w:spacing w:after="120" w:before="200" w:line="360"/>
      </w:pPr>
      <w:r>
        <w:t xml:space="preserve">1.2	Projektziel</w:t>
      </w:r>
    </w:p>
    <w:p>
      <w:pPr>
        <w:spacing w:after="120" w:before="0" w:line="360"/>
        <w:jc w:val="both"/>
      </w:pPr>
      <w:r>
        <w:t>Ziel war eine Anwendung, die sich ohne Einarbeitung bedienen lässt. Das Krankenhauspersonal soll damit Materialien anlegen, ändern und löschen, Bestände einsehen, nach dem Materialnamen suchen und nach Station filtern können; sinkt ein Bestand unter den Mindestbestand, erscheint eine Warnung. Vorgegeben waren dazu eine MySQL-Datenbank mit mindestens fünf Tabellen, vollständiges CRUD, eine MVC-Architektur sowie eine Such- bzw. Filterfunktion – diese vier Pflichtanforderungen bilden den Kern des Projekts.</w:t>
      </w:r>
    </w:p>
    <w:p>
      <w:pPr>
        <w:pStyle w:val="Heading2"/>
        <w:spacing w:after="120" w:before="200" w:line="360"/>
      </w:pPr>
      <w:r>
        <w:t xml:space="preserve">1.3	Projektumfeld</w:t>
      </w:r>
    </w:p>
    <w:p>
      <w:pPr>
        <w:spacing w:after="120" w:before="0" w:line="360"/>
        <w:jc w:val="both"/>
      </w:pPr>
      <w:r>
        <w:t>Das Projekt wurde als Einzelprojekt in der WI-Ausbildung (Gruppe 2551) durchgeführt. Betreut, bewertet und abgenommen wird es von Frau Cramer. Inhaltlich orientiert es sich an einem realistischen Fall aus dem Krankenhausalltag. Auftraggeber und Endnutzer – Krankenhausleitung sowie Pflege- und Stationspersonal – sind fiktiv und dienen nur der praxisnahen Darstellung.</w:t>
      </w:r>
    </w:p>
    <w:p>
      <w:pPr>
        <w:spacing w:after="60" w:before="120" w:line="240"/>
      </w:pPr>
      <w:r>
        <w:rPr>
          <w:i/>
          <w:iCs/>
          <w:sz w:val="20"/>
          <w:szCs w:val="20"/>
        </w:rPr>
        <w:t xml:space="preserve">Tabelle </w:t>
      </w:r>
      <w:fldSimple w:instr="SEQ Tabelle \* ARABIC"/>
      <w:r>
        <w:rPr>
          <w:i/>
          <w:iCs/>
          <w:sz w:val="20"/>
          <w:szCs w:val="20"/>
        </w:rPr>
        <w:t xml:space="preserve">: Beteiligte Rollen und Auftragsschnittstellen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2358"/>
        <w:gridCol w:w="2721"/>
        <w:gridCol w:w="3991"/>
      </w:tblGrid>
      <w:tr>
        <w:trPr>
          <w:tblHeader/>
        </w:trPr>
        <w:tc>
          <w:tcPr>
            <w:tcW w:type="dxa" w:w="2358"/>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Rolle</w:t>
            </w:r>
          </w:p>
        </w:tc>
        <w:tc>
          <w:tcPr>
            <w:tcW w:type="dxa" w:w="272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Person</w:t>
            </w:r>
          </w:p>
        </w:tc>
        <w:tc>
          <w:tcPr>
            <w:tcW w:type="dxa" w:w="399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Funktion</w:t>
            </w:r>
          </w:p>
        </w:tc>
      </w:tr>
      <w:tr>
        <w:trPr>
          <w:tblHeader w:val="false"/>
        </w:trPr>
        <w:tc>
          <w:tcPr>
            <w:tcW w:type="dxa" w:w="235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Betreuerin / Ausbilderin</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Frau Cramer</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Fachliche Begleitung, Bewertung, Abnahme</w:t>
            </w:r>
          </w:p>
        </w:tc>
      </w:tr>
      <w:tr>
        <w:trPr>
          <w:tblHeader w:val="false"/>
        </w:trPr>
        <w:tc>
          <w:tcPr>
            <w:tcW w:type="dxa" w:w="235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Fiktiver Auftraggeber</w:t>
            </w:r>
          </w:p>
        </w:tc>
        <w:tc>
          <w:tcPr>
            <w:tcW w:type="dxa" w:w="272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Krankenhausleitung</w:t>
            </w:r>
          </w:p>
        </w:tc>
        <w:tc>
          <w:tcPr>
            <w:tcW w:type="dxa" w:w="399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Anforderungssteller für die Software</w:t>
            </w:r>
          </w:p>
        </w:tc>
      </w:tr>
      <w:tr>
        <w:trPr>
          <w:tblHeader w:val="false"/>
        </w:trPr>
        <w:tc>
          <w:tcPr>
            <w:tcW w:type="dxa" w:w="235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Fiktive Endnutzer</w:t>
            </w:r>
          </w:p>
        </w:tc>
        <w:tc>
          <w:tcPr>
            <w:tcW w:type="dxa" w:w="272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Pflege- und Stationspersonal</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Tägliche Nutzung der Materialverwaltung</w:t>
            </w:r>
          </w:p>
        </w:tc>
      </w:tr>
    </w:tbl>
    <w:p>
      <w:pPr>
        <w:spacing w:after="120"/>
      </w:pPr>
    </w:p>
    <w:p>
      <w:pPr>
        <w:pStyle w:val="Heading2"/>
        <w:spacing w:after="120" w:before="200" w:line="360"/>
      </w:pPr>
      <w:r>
        <w:t xml:space="preserve">1.4	Projektbegründung</w:t>
      </w:r>
    </w:p>
    <w:p>
      <w:pPr>
        <w:spacing w:after="120" w:before="0" w:line="360"/>
        <w:jc w:val="both"/>
      </w:pPr>
      <w:r>
        <w:t>In vielen Häusern wird Verbrauchsmaterial bis heute von Hand in Listen oder Tabellen gepflegt. Das kostet Zeit und ist fehleranfällig. Wer wissen will, wie viel auf einer Station noch liegt, muss erst die Liste durchgehen; eine Warnung bei knappem Material gibt es nicht, und im Nachhinein lässt sich kaum nachvollziehen, wer was entnommen hat. Genau hier setzt die Anwendung an. Sie verringert Fehlbestände, macht Material schneller auffindbar und gibt der Verwaltung eine Historie, die sich jederzeit prüfen lässt.</w:t>
      </w:r>
    </w:p>
    <w:p>
      <w:pPr>
        <w:pStyle w:val="Heading1"/>
        <w:spacing w:after="120" w:before="280" w:line="360"/>
      </w:pPr>
      <w:r>
        <w:t xml:space="preserve">2	Projektplanung</w:t>
      </w:r>
    </w:p>
    <w:p>
      <w:pPr>
        <w:pStyle w:val="Heading2"/>
        <w:spacing w:after="120" w:before="200" w:line="360"/>
      </w:pPr>
      <w:r>
        <w:t xml:space="preserve">2.1	Projektphasen</w:t>
      </w:r>
    </w:p>
    <w:p>
      <w:pPr>
        <w:spacing w:after="120" w:before="0" w:line="360"/>
        <w:jc w:val="both"/>
      </w:pPr>
      <w:r>
        <w:t>Das Projekt gliedert sich in sieben Phasen mit einem geplanten Gesamtaufwand von 180 Stunden. Bei sechs Wochen Anwesenheit zu je 32 Stunden ergeben sich 192 Stunden; die übrigen 12 Stunden sind als Puffer eingeplant. Die Aufteilung folgt dem Projektantrag (v2) und dem SRH-Leitfaden.</w:t>
      </w:r>
    </w:p>
    <w:p>
      <w:pPr>
        <w:spacing w:after="60" w:before="120" w:line="240"/>
      </w:pPr>
      <w:r>
        <w:rPr>
          <w:i/>
          <w:iCs/>
          <w:sz w:val="20"/>
          <w:szCs w:val="20"/>
        </w:rPr>
        <w:t xml:space="preserve">Tabelle </w:t>
      </w:r>
      <w:fldSimple w:instr="SEQ Tabelle \* ARABIC"/>
      <w:r>
        <w:rPr>
          <w:i/>
          <w:iCs/>
          <w:sz w:val="20"/>
          <w:szCs w:val="20"/>
        </w:rPr>
        <w:t xml:space="preserve">: Projektphasen und Stundenverteilung</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544"/>
        <w:gridCol w:w="2177"/>
        <w:gridCol w:w="5442"/>
        <w:gridCol w:w="907"/>
      </w:tblGrid>
      <w:tr>
        <w:trPr>
          <w:tblHeader/>
        </w:trPr>
        <w:tc>
          <w:tcPr>
            <w:tcW w:type="dxa" w:w="54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w:t>
            </w:r>
          </w:p>
        </w:tc>
        <w:tc>
          <w:tcPr>
            <w:tcW w:type="dxa" w:w="2177"/>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Phase</w:t>
            </w:r>
          </w:p>
        </w:tc>
        <w:tc>
          <w:tcPr>
            <w:tcW w:type="dxa" w:w="5442"/>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Inhalt</w:t>
            </w:r>
          </w:p>
        </w:tc>
        <w:tc>
          <w:tcPr>
            <w:tcW w:type="dxa" w:w="907"/>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h</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1</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Analyse &amp; Planung</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Anforderungen, ER-Diagramm, DB-Schema, Wochenplan</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20</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2</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SQL-Skripte, 6 Tabellen, Testdaten, JDBC-Verbindung</w:t>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20</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3</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DAO &amp; Model</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MVC-Architektur, alle DAO- und Model-Klassen</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20</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4</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UI-Grundfunktionen</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Hauptfenster, CRUD für alle 6 Entitäten, Tabellen, Dialoge</w:t>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40</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5</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UI erweitert</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Name, Filter nach Station, Mindestbestand-Warnung</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25</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6</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Test &amp; Bugfixes</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Funktionen testen, Fehler beheben, Code-Review</w:t>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25</w:t>
            </w:r>
          </w:p>
        </w:tc>
      </w:tr>
      <w:tr>
        <w:trPr>
          <w:tblHeader w:val="false"/>
        </w:trPr>
        <w:tc>
          <w:tcPr>
            <w:tcW w:type="dxa" w:w="54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7</w:t>
            </w:r>
          </w:p>
        </w:tc>
        <w:tc>
          <w:tcPr>
            <w:tcW w:type="dxa" w:w="217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Dokumentation</w:t>
            </w:r>
          </w:p>
        </w:tc>
        <w:tc>
          <w:tcPr>
            <w:tcW w:type="dxa" w:w="5442"/>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Benutzerhandbuch, Projektdoku, Abgabe (Moodle)</w:t>
            </w:r>
          </w:p>
        </w:tc>
        <w:tc>
          <w:tcPr>
            <w:tcW w:type="dxa" w:w="907"/>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30</w:t>
            </w:r>
          </w:p>
        </w:tc>
      </w:tr>
      <w:tr>
        <w:trPr>
          <w:tblHeader w:val="false"/>
        </w:trPr>
        <w:tc>
          <w:tcPr>
            <w:tcW w:type="dxa" w:w="54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Σ</w:t>
            </w:r>
          </w:p>
        </w:tc>
        <w:tc>
          <w:tcPr>
            <w:tcW w:type="dxa" w:w="217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Gesamt</w:t>
            </w:r>
          </w:p>
        </w:tc>
        <w:tc>
          <w:tcPr>
            <w:tcW w:type="dxa" w:w="5442"/>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
            </w:r>
          </w:p>
        </w:tc>
        <w:tc>
          <w:tcPr>
            <w:tcW w:type="dxa" w:w="907"/>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180</w:t>
            </w:r>
          </w:p>
        </w:tc>
      </w:tr>
    </w:tbl>
    <w:p>
      <w:pPr>
        <w:spacing w:after="120"/>
      </w:pPr>
    </w:p>
    <w:p>
      <w:pPr>
        <w:pStyle w:val="Heading2"/>
        <w:spacing w:after="120" w:before="200" w:line="360"/>
      </w:pPr>
      <w:r>
        <w:t xml:space="preserve">2.2	Ressourcenplanung</w:t>
      </w:r>
    </w:p>
    <w:p>
      <w:pPr>
        <w:spacing w:after="120" w:before="0" w:line="360"/>
        <w:jc w:val="both"/>
      </w:pPr>
      <w:r>
        <w:t>Als Einzelprojekt lagen Analyse, Entwicklung, Test und Dokumentation in einer Hand. An Sachmitteln genügte ein privater Laptop (Windows 10/11, ≥ 8 GB RAM); dazu kamen Java 17, JavaFX 21, MySQL 8 mit Connector/J, IntelliJ IDEA, Maven und Git – allesamt kostenfrei. Zur Übung der Kalkulation wurde zusätzlich eine fiktive Kostenrechnung aufgestellt: 150 Stunden Projektarbeit (alle Phasen außer der Dokumentation) zu einem angenommenen Satz von 80,00 €/h ergeben mit anteiligen Sachkosten rund 12.150,00 €. In der Ausbildung fallen diese Kosten natürlich nicht an.</w:t>
      </w:r>
    </w:p>
    <w:p>
      <w:pPr>
        <w:spacing w:after="60" w:before="120" w:line="240"/>
      </w:pPr>
      <w:r>
        <w:rPr>
          <w:i/>
          <w:iCs/>
          <w:sz w:val="20"/>
          <w:szCs w:val="20"/>
        </w:rPr>
        <w:t xml:space="preserve">Tabelle </w:t>
      </w:r>
      <w:fldSimple w:instr="SEQ Tabelle \* ARABIC"/>
      <w:r>
        <w:rPr>
          <w:i/>
          <w:iCs/>
          <w:sz w:val="20"/>
          <w:szCs w:val="20"/>
        </w:rPr>
        <w:t xml:space="preserve">: Risiken und Gegenmaßnahmen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628"/>
        <w:gridCol w:w="1451"/>
        <w:gridCol w:w="3991"/>
      </w:tblGrid>
      <w:tr>
        <w:trPr>
          <w:tblHeader/>
        </w:trPr>
        <w:tc>
          <w:tcPr>
            <w:tcW w:type="dxa" w:w="3628"/>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Risiko</w:t>
            </w:r>
          </w:p>
        </w:tc>
        <w:tc>
          <w:tcPr>
            <w:tcW w:type="dxa" w:w="145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Wahrsch.</w:t>
            </w:r>
          </w:p>
        </w:tc>
        <w:tc>
          <w:tcPr>
            <w:tcW w:type="dxa" w:w="3991"/>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Gegenmaßnahme</w:t>
            </w:r>
          </w:p>
        </w:tc>
      </w:tr>
      <w:tr>
        <w:trPr>
          <w:tblHeader w:val="false"/>
        </w:trPr>
        <w:tc>
          <w:tcPr>
            <w:tcW w:type="dxa" w:w="362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JDBC-Verbindungsprobleme</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Früher Test, Singleton-DBConnection</w:t>
            </w:r>
          </w:p>
        </w:tc>
      </w:tr>
      <w:tr>
        <w:trPr>
          <w:tblHeader w:val="false"/>
        </w:trPr>
        <w:tc>
          <w:tcPr>
            <w:tcW w:type="dxa" w:w="362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JavaFX-Komplexität (TableView)</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Hoch</w:t>
            </w:r>
          </w:p>
        </w:tc>
        <w:tc>
          <w:tcPr>
            <w:tcW w:type="dxa" w:w="399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Einfache Layouts zuerst, schrittweise erweitern</w:t>
            </w:r>
          </w:p>
        </w:tc>
      </w:tr>
      <w:tr>
        <w:trPr>
          <w:tblHeader w:val="false"/>
        </w:trPr>
        <w:tc>
          <w:tcPr>
            <w:tcW w:type="dxa" w:w="3628"/>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Zeitverzug in Phase 4</w:t>
            </w:r>
          </w:p>
        </w:tc>
        <w:tc>
          <w:tcPr>
            <w:tcW w:type="dxa" w:w="145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Mittel</w:t>
            </w:r>
          </w:p>
        </w:tc>
        <w:tc>
          <w:tcPr>
            <w:tcW w:type="dxa" w:w="3991"/>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12 h Puffer, Kernanforderungen zuerst</w:t>
            </w:r>
          </w:p>
        </w:tc>
      </w:tr>
      <w:tr>
        <w:trPr>
          <w:tblHeader w:val="false"/>
        </w:trPr>
        <w:tc>
          <w:tcPr>
            <w:tcW w:type="dxa" w:w="3628"/>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Datenverlust im Test</w:t>
            </w:r>
          </w:p>
        </w:tc>
        <w:tc>
          <w:tcPr>
            <w:tcW w:type="dxa" w:w="145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Niedrig</w:t>
            </w:r>
          </w:p>
        </w:tc>
        <w:tc>
          <w:tcPr>
            <w:tcW w:type="dxa" w:w="3991"/>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Testdatenbank trennen, Backups</w:t>
            </w:r>
          </w:p>
        </w:tc>
      </w:tr>
    </w:tbl>
    <w:p>
      <w:pPr>
        <w:spacing w:after="120"/>
      </w:pPr>
    </w:p>
    <w:p>
      <w:pPr>
        <w:pStyle w:val="Heading2"/>
        <w:spacing w:after="120" w:before="200" w:line="360"/>
      </w:pPr>
      <w:r>
        <w:t xml:space="preserve">2.3	Entwicklungsprozess</w:t>
      </w:r>
    </w:p>
    <w:p>
      <w:pPr>
        <w:spacing w:after="120" w:before="0" w:line="360"/>
        <w:jc w:val="both"/>
      </w:pPr>
      <w:r>
        <w:t>Entwickelt wurde schrittweise entlang der Phasen. Den Anfang machten das Datenmodell und die Datenzugriffsschicht, erst danach kam die Oberfläche dazu. Bei der Oberfläche wurden zunächst die Kernmodule Materialien, Kategorien und Stationslager fertiggestellt, die optionalen Module Lieferanten, Bestellungen und Bestandsbewegungen folgten später. Auf diese Weise stand früh ein lauffähiger Kern, an dem sich die Pflichtanforderungen überprüfen ließen. Wichtige Entscheidungen und Abweichungen wurden im Projekttagebuch festgehalten.</w:t>
      </w:r>
    </w:p>
    <w:p>
      <w:pPr>
        <w:pStyle w:val="Heading1"/>
        <w:spacing w:after="120" w:before="280" w:line="360"/>
      </w:pPr>
      <w:r>
        <w:t xml:space="preserve">3	Analysephase</w:t>
      </w:r>
    </w:p>
    <w:p>
      <w:pPr>
        <w:pStyle w:val="Heading2"/>
        <w:spacing w:after="120" w:before="200" w:line="360"/>
      </w:pPr>
      <w:r>
        <w:t xml:space="preserve">3.1	Ist-Analyse</w:t>
      </w:r>
    </w:p>
    <w:p>
      <w:pPr>
        <w:spacing w:after="120" w:before="0" w:line="360"/>
        <w:jc w:val="both"/>
      </w:pPr>
      <w:r>
        <w:t>Ausgangspunkt ist die manuelle Materialverwaltung per Liste oder Tabellenkalkulation. Wer den Bestand einer einzelnen Station – etwa Station 1, OP, ICU oder Zentrallager – braucht, muss ihn sich erst zusammensuchen. Eine automatische Warnung beim Unterschreiten des Mindestbestands fehlt ebenso wie eine lückenlose Buchungshistorie, mit der sich Entnahmen nachverfolgen lassen. Bei der Pflege schleichen sich leicht Fehler ein, und gezielt nach Station oder Materialart filtern lässt sich ohnehin nicht.</w:t>
      </w:r>
    </w:p>
    <w:p>
      <w:pPr>
        <w:pStyle w:val="Heading2"/>
        <w:spacing w:after="120" w:before="200" w:line="360"/>
      </w:pPr>
      <w:r>
        <w:t xml:space="preserve">3.2	Anwendungsfälle</w:t>
      </w:r>
    </w:p>
    <w:p>
      <w:pPr>
        <w:spacing w:after="120" w:before="0" w:line="360"/>
        <w:jc w:val="both"/>
      </w:pPr>
      <w:r>
        <w:t>Aus der Ist-Analyse ergaben sich die zentralen Anwendungsfälle. Das Personal legt Materialien an, bearbeitet und löscht sie und sieht in der Bestandsübersicht den je Material und Lager berechneten Bestand. Es sucht nach dem Namen, filtert nach Station und erkennt an der Warnung, wenn ein Bestand knapp wird. Hinzu kommen das Erfassen von Bestellungen sowie das Buchen von Ein- und Ausgängen über die Bestandsbewegungen; eine Entnahme wird als Ausgang, eine Umlagerung zwischen zwei Lagern als Ausgang im einen und Eingang im anderen Lager gebucht.</w:t>
      </w:r>
    </w:p>
    <w:p>
      <w:pPr>
        <w:spacing w:after="40" w:before="80"/>
        <w:jc w:val="center"/>
      </w:pPr>
      <w:r>
        <w:drawing>
          <wp:inline distT="0" distB="0" distL="0" distR="0">
            <wp:extent cx="3048000" cy="3143250"/>
            <wp:effectExtent t="0" r="0" b="0" l="0"/>
            <wp:docPr id="1" name="Use-Case-Diagramm der Hauptfun" descr="Use-Case-Diagramm der Hauptfunktionen" title="Use-Case-Diagramm der Hauptfunktione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3048000" cy="3143250"/>
                    </a:xfrm>
                    <a:prstGeom prst="rect">
                      <a:avLst/>
                    </a:prstGeom>
                  </pic:spPr>
                </pic:pic>
              </a:graphicData>
            </a:graphic>
          </wp:inline>
        </w:drawing>
      </w:r>
    </w:p>
    <w:p>
      <w:pPr>
        <w:spacing w:after="160" w:before="40" w:line="240"/>
        <w:jc w:val="center"/>
      </w:pPr>
      <w:r>
        <w:rPr>
          <w:i/>
          <w:iCs/>
          <w:sz w:val="20"/>
          <w:szCs w:val="20"/>
        </w:rPr>
        <w:t xml:space="preserve">Abbildung </w:t>
      </w:r>
      <w:fldSimple w:instr="SEQ Abbildung \* ARABIC"/>
      <w:r>
        <w:rPr>
          <w:i/>
          <w:iCs/>
          <w:sz w:val="20"/>
          <w:szCs w:val="20"/>
        </w:rPr>
        <w:t xml:space="preserve">: Use-Case-Diagramm der Hauptfunktionen</w:t>
      </w:r>
    </w:p>
    <w:p>
      <w:pPr>
        <w:pStyle w:val="Heading2"/>
        <w:spacing w:after="120" w:before="200" w:line="360"/>
      </w:pPr>
      <w:r>
        <w:t xml:space="preserve">3.3	Lastenheft</w:t>
      </w:r>
    </w:p>
    <w:p>
      <w:pPr>
        <w:spacing w:after="120" w:before="0" w:line="360"/>
        <w:jc w:val="both"/>
      </w:pPr>
      <w:r>
        <w:t xml:space="preserve">Das Lastenheft fasst die Anforderungen zusammen. Die Pflichtanforderungen ergeben sich aus der Ausbildungsrichtlinie, die Zusatzanforderungen aus dem Krankenhauskontext.</w:t>
      </w:r>
    </w:p>
    <w:p>
      <w:pPr>
        <w:spacing w:after="60" w:before="120" w:line="240"/>
      </w:pPr>
      <w:r>
        <w:rPr>
          <w:i/>
          <w:iCs/>
          <w:sz w:val="20"/>
          <w:szCs w:val="20"/>
        </w:rPr>
        <w:t xml:space="preserve">Tabelle </w:t>
      </w:r>
      <w:fldSimple w:instr="SEQ Tabelle \* ARABIC"/>
      <w:r>
        <w:rPr>
          <w:i/>
          <w:iCs/>
          <w:sz w:val="20"/>
          <w:szCs w:val="20"/>
        </w:rPr>
        <w:t xml:space="preserve">: Pflichtanforderungen laut Ausbildungsrichtlinie</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Pflichtanforderung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Datenbankanbindung</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MySQL-Datenbank mit mindestens 5 Tabellen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CRUD-Operationen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Erstellen, Lesen, Ändern, Löschen für alle Entitäten</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MVC-Architektur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Klare Trennung von Model, View und Controller</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 und Filterfunktion</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Suche nach Materialname, Filter nach Station</w:t>
            </w:r>
          </w:p>
        </w:tc>
      </w:tr>
    </w:tbl>
    <w:p>
      <w:pPr>
        <w:spacing w:after="120"/>
      </w:pPr>
    </w:p>
    <w:p>
      <w:pPr>
        <w:spacing w:after="60" w:before="120" w:line="240"/>
      </w:pPr>
      <w:r>
        <w:rPr>
          <w:i/>
          <w:iCs/>
          <w:sz w:val="20"/>
          <w:szCs w:val="20"/>
        </w:rPr>
        <w:t xml:space="preserve">Tabelle </w:t>
      </w:r>
      <w:fldSimple w:instr="SEQ Tabelle \* ARABIC"/>
      <w:r>
        <w:rPr>
          <w:i/>
          <w:iCs/>
          <w:sz w:val="20"/>
          <w:szCs w:val="20"/>
        </w:rPr>
        <w:t xml:space="preserve">: Krankenhausspezifische Zusatzanforderungen</w:t>
      </w:r>
    </w:p>
    <w:tbl>
      <w:tblPr>
        <w:tblW w:type="dxa" w:w="9070"/>
        <w:tblBorders>
          <w:top w:val="single" w:color="auto" w:sz="4"/>
          <w:left w:val="single" w:color="auto" w:sz="4"/>
          <w:bottom w:val="single" w:color="auto" w:sz="4"/>
          <w:right w:val="single" w:color="auto" w:sz="4"/>
          <w:insideH w:val="single" w:color="auto" w:sz="4"/>
          <w:insideV w:val="single" w:color="auto" w:sz="4"/>
        </w:tblBorders>
      </w:tblPr>
      <w:tblGrid>
        <w:gridCol w:w="3084"/>
        <w:gridCol w:w="5986"/>
      </w:tblGrid>
      <w:tr>
        <w:trPr>
          <w:tblHeader/>
        </w:trPr>
        <w:tc>
          <w:tcPr>
            <w:tcW w:type="dxa" w:w="3084"/>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Zusatzanforderung</w:t>
            </w:r>
          </w:p>
        </w:tc>
        <w:tc>
          <w:tcPr>
            <w:tcW w:type="dxa" w:w="5986"/>
            <w:tcBorders>
              <w:top w:val="single" w:color="B9C7D6" w:sz="1"/>
              <w:left w:val="single" w:color="B9C7D6" w:sz="1"/>
              <w:bottom w:val="single" w:color="B9C7D6" w:sz="1"/>
              <w:right w:val="single" w:color="B9C7D6" w:sz="1"/>
            </w:tcBorders>
            <w:shd w:fill="2E5A88" w:val="clear"/>
            <w:tcMar>
              <w:top w:type="dxa" w:w="40"/>
              <w:left w:type="dxa" w:w="100"/>
              <w:bottom w:type="dxa" w:w="40"/>
              <w:right w:type="dxa" w:w="100"/>
            </w:tcMar>
            <w:vAlign w:val="center"/>
          </w:tcPr>
          <w:p>
            <w:pPr>
              <w:spacing w:after="0" w:line="240"/>
            </w:pPr>
            <w:r>
              <w:rPr>
                <w:b/>
                <w:bCs/>
                <w:color w:val="FFFFFF"/>
                <w:sz w:val="20"/>
                <w:szCs w:val="20"/>
              </w:rPr>
              <w:t xml:space="preserve">Beschreibung</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Mindestbestand-Warnung</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Visuelle Hervorhebung bei Unterschreitung</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Buchungshistorie</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Protokoll aller Ein- und Ausgänge</w:t>
            </w:r>
          </w:p>
        </w:tc>
      </w:tr>
      <w:tr>
        <w:trPr>
          <w:tblHeader w:val="false"/>
        </w:trPr>
        <w:tc>
          <w:tcPr>
            <w:tcW w:type="dxa" w:w="3084"/>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Stationsfilter</w:t>
            </w:r>
          </w:p>
        </w:tc>
        <w:tc>
          <w:tcPr>
            <w:tcW w:type="dxa" w:w="5986"/>
            <w:tcBorders>
              <w:top w:val="single" w:color="B9C7D6" w:sz="1"/>
              <w:left w:val="single" w:color="B9C7D6" w:sz="1"/>
              <w:bottom w:val="single" w:color="B9C7D6" w:sz="1"/>
              <w:right w:val="single" w:color="B9C7D6" w:sz="1"/>
            </w:tcBorders>
            <w:shd w:fill="EEF3F8" w:val="clear"/>
            <w:tcMar>
              <w:top w:type="dxa" w:w="40"/>
              <w:left w:type="dxa" w:w="100"/>
              <w:bottom w:type="dxa" w:w="40"/>
              <w:right w:type="dxa" w:w="100"/>
            </w:tcMar>
            <w:vAlign w:val="center"/>
          </w:tcPr>
          <w:p>
            <w:pPr>
              <w:spacing w:after="0" w:line="240"/>
            </w:pPr>
            <w:r>
              <w:rPr>
                <w:b w:val="false"/>
                <w:bCs w:val="false"/>
                <w:color w:val="222222"/>
                <w:sz w:val="20"/>
                <w:szCs w:val="20"/>
              </w:rPr>
              <w:t xml:space="preserve">Anzeige nach Krankenhaus-Station</w:t>
            </w:r>
          </w:p>
        </w:tc>
      </w:tr>
      <w:tr>
        <w:trPr>
          <w:tblHeader w:val="false"/>
        </w:trPr>
        <w:tc>
          <w:tcPr>
            <w:tcW w:type="dxa" w:w="3084"/>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Benutzerfreundlichkeit</w:t>
            </w:r>
          </w:p>
        </w:tc>
        <w:tc>
          <w:tcPr>
            <w:tcW w:type="dxa" w:w="5986"/>
            <w:tcBorders>
              <w:top w:val="single" w:color="B9C7D6" w:sz="1"/>
              <w:left w:val="single" w:color="B9C7D6" w:sz="1"/>
              <w:bottom w:val="single" w:color="B9C7D6" w:sz="1"/>
              <w:right w:val="single" w:color="B9C7D6" w:sz="1"/>
            </w:tcBorders>
            <w:shd w:fill="FFFFFF" w:val="clear"/>
            <w:tcMar>
              <w:top w:type="dxa" w:w="40"/>
              <w:left w:type="dxa" w:w="100"/>
              <w:bottom w:type="dxa" w:w="40"/>
              <w:right w:type="dxa" w:w="100"/>
            </w:tcMar>
            <w:vAlign w:val="center"/>
          </w:tcPr>
          <w:p>
            <w:pPr>
              <w:spacing w:after="0" w:line="240"/>
            </w:pPr>
            <w:r>
              <w:rPr>
                <w:b w:val="false"/>
                <w:bCs w:val="false"/>
                <w:color w:val="222222"/>
                <w:sz w:val="20"/>
                <w:szCs w:val="20"/>
              </w:rPr>
              <w:t xml:space="preserve">Intuitive Oberfläche für nicht-technisches Personal</w:t>
            </w:r>
          </w:p>
        </w:tc>
      </w:tr>
    </w:tbl>
    <w:p>
      <w:pPr>
        <w:spacing w:after="120"/>
      </w:pPr>
    </w:p>
    <w:sectPr>
      <w:footerReference w:type="default" r:id="rId7"/>
      <w:pgSz w:w="11906" w:h="16838" w:orient="portrait"/>
      <w:pgMar w:top="1418" w:right="1418" w:bottom="1134"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9C7D6" w:sz="4" w:space="6"/>
      </w:pBdr>
      <w:spacing w:line="240"/>
      <w:jc w:val="center"/>
    </w:pPr>
    <w:r>
      <w:rPr>
        <w:color w:val="666666"/>
        <w:sz w:val="18"/>
        <w:szCs w:val="18"/>
      </w:rPr>
      <w:t xml:space="preserve">Projektdokumentation - Sascha Schulz (Gruppe 2551)   -   Seite </w:t>
    </w:r>
    <w:r>
      <w:rPr>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abstractNum w:abstractNumId="3" w15:restartNumberingAfterBreak="0">
    <w:multiLevelType w:val="hybridMultilevel"/>
    <w:lvl w:ilvl="0" w15:tentative="1">
      <w:start w:val="1"/>
      <w:numFmt w:val="decimal"/>
      <w:lvlText w:val="%1."/>
      <w:lvlJc w:val="left"/>
      <w:pPr>
        <w:ind w:left="56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60"/>
      </w:pPr>
    </w:pPrDefault>
  </w:docDefaults>
  <w:style w:type="paragraph" w:styleId="Title">
    <w:name w:val="Title"/>
    <w:basedOn w:val="Normal"/>
    <w:next w:val="Normal"/>
    <w:qFormat/>
    <w:rPr>
      <w:rFonts w:ascii="Times New Roman" w:hAnsi="Times New Roman"/>
      <w:b/>
      <w:i w:val="0"/>
      <w:color w:val="000000"/>
      <w:sz w:val="40"/>
      <w:szCs w:val="56"/>
    </w:rPr>
  </w:style>
  <w:style w:type="paragraph" w:styleId="Heading1">
    <w:name w:val="Heading 1"/>
    <w:basedOn w:val="Normal"/>
    <w:next w:val="Normal"/>
    <w:qFormat/>
    <w:rPr>
      <w:rFonts w:ascii="Times New Roman" w:hAnsi="Times New Roman"/>
      <w:b/>
      <w:i w:val="0"/>
      <w:color w:val="000000"/>
      <w:sz w:val="28"/>
      <w:szCs w:val="32"/>
    </w:rPr>
  </w:style>
  <w:style w:type="paragraph" w:styleId="Heading2">
    <w:name w:val="Heading 2"/>
    <w:basedOn w:val="Normal"/>
    <w:next w:val="Normal"/>
    <w:qFormat/>
    <w:rPr>
      <w:rFonts w:ascii="Times New Roman" w:hAnsi="Times New Roman"/>
      <w:b/>
      <w:i w:val="0"/>
      <w:color w:val="000000"/>
      <w:sz w:val="24"/>
      <w:szCs w:val="26"/>
    </w:rPr>
  </w:style>
  <w:style w:type="paragraph" w:styleId="Heading3">
    <w:name w:val="Heading 3"/>
    <w:basedOn w:val="Normal"/>
    <w:next w:val="Normal"/>
    <w:qFormat/>
    <w:rPr>
      <w:rFonts w:ascii="Times New Roman" w:hAnsi="Times New Roman"/>
      <w:b/>
      <w:i/>
      <w:color w:val="000000"/>
      <w:sz w:val="24"/>
      <w:szCs w:val="24"/>
    </w:rPr>
  </w:style>
  <w:style w:type="paragraph" w:styleId="Heading4">
    <w:name w:val="Heading 4"/>
    <w:basedOn w:val="Normal"/>
    <w:next w:val="Normal"/>
    <w:qFormat/>
    <w:rPr>
      <w:rFonts w:ascii="Times New Roman" w:hAnsi="Times New Roman"/>
      <w:b/>
      <w:i/>
      <w:iCs/>
      <w:color w:val="000000"/>
      <w:sz w:val="24"/>
    </w:rPr>
  </w:style>
  <w:style w:type="paragraph" w:styleId="Heading5">
    <w:name w:val="Heading 5"/>
    <w:basedOn w:val="Normal"/>
    <w:next w:val="Normal"/>
    <w:qFormat/>
    <w:rPr>
      <w:rFonts w:ascii="Times New Roman" w:hAnsi="Times New Roman"/>
      <w:b/>
      <w:i/>
      <w:color w:val="000000"/>
      <w:sz w:val="24"/>
    </w:rPr>
  </w:style>
  <w:style w:type="paragraph" w:styleId="Heading6">
    <w:name w:val="Heading 6"/>
    <w:basedOn w:val="Normal"/>
    <w:next w:val="Normal"/>
    <w:qFormat/>
    <w:rPr>
      <w:rFonts w:ascii="Times New Roman" w:hAnsi="Times New Roman"/>
      <w:b/>
      <w:i/>
      <w:color w:val="000000"/>
      <w:sz w:val="24"/>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keepNext/>
      <w:spacing w:after="140" w:before="280"/>
      <w:outlineLvl w:val="0"/>
    </w:pPr>
    <w:rPr>
      <w:rFonts w:ascii="Times New Roman" w:cs="Times New Roman" w:eastAsia="Times New Roman" w:hAnsi="Times New Roman"/>
      <w:b/>
      <w:bCs/>
      <w:i w:val="0"/>
      <w:color w:val="000000"/>
      <w:sz w:val="28"/>
      <w:szCs w:val="32"/>
    </w:rPr>
  </w:style>
  <w:style w:type="paragraph" w:styleId="Heading2">
    <w:name w:val="Heading 2"/>
    <w:basedOn w:val="Normal"/>
    <w:next w:val="Normal"/>
    <w:qFormat/>
    <w:pPr>
      <w:keepNext/>
      <w:spacing w:after="120" w:before="200"/>
      <w:outlineLvl w:val="1"/>
    </w:pPr>
    <w:rPr>
      <w:rFonts w:ascii="Times New Roman" w:cs="Times New Roman" w:eastAsia="Times New Roman" w:hAnsi="Times New Roman"/>
      <w:b/>
      <w:bCs/>
      <w:i w:val="0"/>
      <w:color w:val="000000"/>
      <w:sz w:val="24"/>
      <w:szCs w:val="28"/>
    </w:rPr>
  </w:style>
  <w:style w:type="paragraph" w:styleId="Heading3">
    <w:name w:val="Heading 3"/>
    <w:basedOn w:val="Normal"/>
    <w:next w:val="Normal"/>
    <w:qFormat/>
    <w:pPr>
      <w:keepNext/>
      <w:spacing w:after="100" w:before="160"/>
      <w:outlineLvl w:val="2"/>
    </w:pPr>
    <w:rPr>
      <w:rFonts w:ascii="Times New Roman" w:cs="Times New Roman" w:eastAsia="Times New Roman" w:hAnsi="Times New Roman"/>
      <w:b/>
      <w:bCs/>
      <w:i/>
      <w:color w:val="000000"/>
      <w:sz w:val="24"/>
      <w:szCs w:val="25"/>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a1e37f692a3e1c6a9abb7a133f14503943d7f497.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2026-06-08T19:11:32.734Z</dcterms:created>
  <dcterms:modified xsi:type="dcterms:W3CDTF">2026-06-08T19:11:32.734Z</dcterms:modified>
</cp:coreProperties>
</file>

<file path=docProps/custom.xml><?xml version="1.0" encoding="utf-8"?>
<Properties xmlns="http://schemas.openxmlformats.org/officeDocument/2006/custom-properties" xmlns:vt="http://schemas.openxmlformats.org/officeDocument/2006/docPropsVTypes"/>
</file>