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 xml:space="preserve">Auf Basis der Anforderungen wurde das Datenmodell in sechs normalisierten Tabellen (3. Normalform) entworfen. Der Bestand wird bewusst nicht im Material gespeichert, sondern aus den Bewegungen berechnet (Summe EINGANG minus Summe AUSGANG). So bleibt das Modell konsistent und die Historie lückenlos und prüfbar.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 xml:space="preserve">Die Anwendung folgt dem Muster Model-View-Controller mit einer zusätzlichen DAO-Schicht für den Datenbankzugriff. Die View (JavaFX/FXML) zeigt Daten und nimmt Eingaben entgegen, der Controller steuert die Bedienlogik, die DAO-Klassen kapseln alle SQL-Zugriffe, und die Model-Klassen sind einfache Datenobjekte (POJOs). Diese Trennung macht den Code übersichtlich und gut testbar.</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 xml:space="preserve">Die Oberfläche wurde als ein Hauptfenster mit sieben Registerkarten (TabPane) entworfen. Die erste Registerkarte „Bestandsübersicht“ enthält oben eine Such- und Filterleiste (Suchfeld für den Namen, Auswahl der Station) und darunter die Bestandstabelle; Zeilen mit zu niedrigem Bestand werden rot hervorgehoben. Die weiteren Registerkarten (Materialien, Kategorien, Stationslager, Lieferanten, Bestellungen, Bestandsbewegungen)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 xml:space="preserve">Das Pflichtenheft beschreibt, wie die Anforderungen technisch umgesetzt werden: die sechs Tabellen als MySQL-Schema, die CRUD-Operationen je Entität über PreparedStatements, die MVC-Struktur mit DAO-Schicht, die Filterung der Bestandssicht nach Name und Station sowie die Mindestbestand-Warnung über eine RowFactory mit Zeilenfärbung. Die optionalen Module (Lieferanten, Bestellungen, Bestandsbewegungen) werden nur bei vollständigem Kern umgesetzt.</w:t>
      </w:r>
    </w:p>
    <w:p>
      <w:pPr>
        <w:pStyle w:val="Heading1"/>
        <w:spacing w:after="120" w:before="280" w:line="360"/>
      </w:pPr>
      <w:r>
        <w:t xml:space="preserve">5	Implementierungsphase</w:t>
      </w:r>
    </w:p>
    <w:p>
      <w:pPr>
        <w:spacing w:after="120" w:before="0" w:line="360"/>
        <w:jc w:val="both"/>
      </w:pPr>
      <w:r>
        <w:t xml:space="preserve">Dieses Kapitel zeigt die Umsetzung anhand repräsentativer Code-Auszüge.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"jdbc:mysql://127.0.0.1:3324/DOIT"</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conn = DBConnection.getConnection();</w:t>
            </w:r>
          </w:p>
          <w:p>
            <w:pPr>
              <w:spacing w:after="0" w:line="230"/>
            </w:pPr>
            <w:r>
              <w:rPr>
                <w:rFonts w:ascii="Consolas" w:cs="Consolas" w:eastAsia="Consolas" w:hAnsi="Consolas"/>
                <w:color w:val="1A1A1A"/>
                <w:sz w:val="18"/>
                <w:szCs w:val="18"/>
              </w:rPr>
              <w:t xml:space="preserve">  try (PreparedStatement ps = conn.prepareStatement(sql,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ps.setString(1, material.getName());</w:t>
            </w:r>
          </w:p>
          <w:p>
            <w:pPr>
              <w:spacing w:after="0" w:line="230"/>
            </w:pPr>
            <w:r>
              <w:rPr>
                <w:rFonts w:ascii="Consolas" w:cs="Consolas" w:eastAsia="Consolas" w:hAnsi="Consolas"/>
                <w:color w:val="1A1A1A"/>
                <w:sz w:val="18"/>
                <w:szCs w:val="18"/>
              </w:rPr>
              <w:t xml:space="preserve">    ps.setString(2, material.getEinheit());</w:t>
            </w:r>
          </w:p>
          <w:p>
            <w:pPr>
              <w:spacing w:after="0" w:line="230"/>
            </w:pPr>
            <w:r>
              <w:rPr>
                <w:rFonts w:ascii="Consolas" w:cs="Consolas" w:eastAsia="Consolas" w:hAnsi="Consolas"/>
                <w:color w:val="1A1A1A"/>
                <w:sz w:val="18"/>
                <w:szCs w:val="18"/>
              </w:rPr>
              <w:t xml:space="preserve">    ps.setInt(3, material.getMindestbestand());</w:t>
            </w:r>
          </w:p>
          <w:p>
            <w:pPr>
              <w:spacing w:after="0" w:line="230"/>
            </w:pPr>
            <w:r>
              <w:rPr>
                <w:rFonts w:ascii="Consolas" w:cs="Consolas" w:eastAsia="Consolas" w:hAnsi="Consolas"/>
                <w:color w:val="1A1A1A"/>
                <w:sz w:val="18"/>
                <w:szCs w:val="18"/>
              </w:rPr>
              <w:t xml:space="preserve">    ps.setInt(4, material.getKategorieId());</w:t>
            </w:r>
          </w:p>
          <w:p>
            <w:pPr>
              <w:spacing w:after="0" w:line="230"/>
            </w:pPr>
            <w:r>
              <w:rPr>
                <w:rFonts w:ascii="Consolas" w:cs="Consolas" w:eastAsia="Consolas" w:hAnsi="Consolas"/>
                <w:color w:val="1A1A1A"/>
                <w:sz w:val="18"/>
                <w:szCs w:val="18"/>
              </w:rPr>
              <w:t xml:space="preserve">    ps.executeUpdate();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 xml:space="preserve">Das Hauptfenster wurde mit einem TabPane realisiert. Die Bestandsübersicht zeigt je Material und Lager den aus den Bewegungen berechneten Bestand (per JOIN über findBestandViews) mit den Spalten Material, Einheit, Bestand, Mindestbestand und Status. Die Registerkarte Materialien verwaltet die Stammdaten (Name, Einheit, Mindestbestand, Kategorie-ID). Über Anlegen, Bearbeiten und Löschen werden Datensätze in einem Dialog gepflegt; das vollständige CRUD wurde für alle sechs Entitäten umgesetzt.</w:t>
      </w:r>
    </w:p>
    <w:p>
      <w:pPr>
        <w:pStyle w:val="Heading2"/>
        <w:spacing w:after="120" w:before="200" w:line="360"/>
      </w:pPr>
      <w:r>
        <w:t xml:space="preserve">5.4	Such- und Filterfunktion</w:t>
      </w:r>
    </w:p>
    <w:p>
      <w:pPr>
        <w:spacing w:after="120" w:before="0" w:line="360"/>
        <w:jc w:val="both"/>
      </w:pPr>
      <w:r>
        <w:t xml:space="preserve">Die Anzeige der Bestandsübersicht wird gefiltert: Das Suchfeld (Materialname) und die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 xml:space="preserve">Bestandsänderungen erfolgen ausschließlich über Buchungen. Über die Schaltfläche „Warenentnahme“ wird ein AUSGANG gebucht, über „Umlagerung“ zwischen zwei Lagern ein AUSGANG im Quell- und ein EINGANG im Ziellager (Doppelbuchung). Auf der Registerkarte Bestandsbewegungen lassen sich Ein- und Ausgänge zusätzlich manuell anlegen, bearbeiten und löschen. Der Status einer Bestellung (offen, geliefert, storniert) dokumentiert nur den Bestellvorgang; den zugehörigen Wareneingang bucht der Nutzer anschließend als EINGANG.</w:t>
      </w: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image" Target="media/6288cb956bebc5e82b97c9b647b8569454f9a377.png"/><Relationship Id="rId10" Type="http://schemas.openxmlformats.org/officeDocument/2006/relationships/image" Target="media/a8c38d21a939e2a27ba971ff22ceb5c64737b0e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2026-06-08T19:11:32.812Z</dcterms:created>
  <dcterms:modified xsi:type="dcterms:W3CDTF">2026-06-08T19:11:32.812Z</dcterms:modified>
</cp:coreProperties>
</file>

<file path=docProps/custom.xml><?xml version="1.0" encoding="utf-8"?>
<Properties xmlns="http://schemas.openxmlformats.org/officeDocument/2006/custom-properties" xmlns:vt="http://schemas.openxmlformats.org/officeDocument/2006/docPropsVTypes"/>
</file>