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80" w:line="360"/>
      </w:pPr>
      <w:r>
        <w:t xml:space="preserve">6	Abnahme- und Testphase</w:t>
      </w:r>
    </w:p>
    <w:p>
      <w:pPr>
        <w:pStyle w:val="Heading2"/>
        <w:spacing w:after="120" w:before="200" w:line="360"/>
      </w:pPr>
      <w:r>
        <w:t xml:space="preserve">6.1	Testfälle und Testergebnisse</w:t>
      </w:r>
    </w:p>
    <w:p>
      <w:pPr>
        <w:spacing w:after="120" w:before="0" w:line="360"/>
        <w:jc w:val="both"/>
      </w:pPr>
      <w:r>
        <w:t xml:space="preserve">Zur Qualitätssicherung wurden zehn Testfälle definiert, die alle Pflicht- und Zusatzanforderungen abdecken. Jeder Testfall wird manuell durchgeführt und das Ergebnis protokolliert (bestanden / fehlgeschlagen). Erwartet wird, dass alle Pflicht-Testfälle bestehen, da die Funktionen umgesetzt und die in Phase 6 gefundenen Fehler behoben wurden.</w:t>
      </w:r>
    </w:p>
    <w:p>
      <w:pPr>
        <w:spacing w:after="60" w:before="120" w:line="240"/>
      </w:pPr>
      <w:r>
        <w:rPr>
          <w:i/>
          <w:iCs/>
          <w:sz w:val="20"/>
          <w:szCs w:val="20"/>
        </w:rPr>
        <w:t xml:space="preserve">Tabelle </w:t>
      </w:r>
      <w:fldSimple w:instr="SEQ Tabelle \* ARABIC"/>
      <w:r>
        <w:rPr>
          <w:i/>
          <w:iCs/>
          <w:sz w:val="20"/>
          <w:szCs w:val="20"/>
        </w:rPr>
        <w:t xml:space="preserve">: Definierte Testfälle (Auszug)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726"/>
        <w:gridCol w:w="2721"/>
        <w:gridCol w:w="4535"/>
        <w:gridCol w:w="1088"/>
      </w:tblGrid>
      <w:tr>
        <w:trPr>
          <w:tblHeader/>
        </w:trPr>
        <w:tc>
          <w:tcPr>
            <w:tcW w:type="dxa" w:w="72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w:t>
            </w:r>
          </w:p>
        </w:tc>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Testfall</w:t>
            </w:r>
          </w:p>
        </w:tc>
        <w:tc>
          <w:tcPr>
            <w:tcW w:type="dxa" w:w="453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Erwartetes Ergebnis</w:t>
            </w:r>
          </w:p>
        </w:tc>
        <w:tc>
          <w:tcPr>
            <w:tcW w:type="dxa" w:w="1088"/>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Prio</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T1</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anlegen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Erscheint in Tabelle, DB-Eintrag vorhanden</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T2</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bearbeiten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Geänderte Werte in Tabelle und DB</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T3</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löschen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Aus Tabelle und DB entfernt</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T4</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Mindestbestand-Warnung</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Zeile rot bei Bestand ≤ Mindestbestand</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T5</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Name</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Tabelle filtert live beim Tippen</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T6</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Filter nach Station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Nur Material der gewählten Station</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T7</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AUSGANG buchen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 sinkt, Buchung in Historie</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T8</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EINGANG buchen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 steigt, Buchung in Historie</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T9</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Pflichtfeld leer</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Fehlermeldung, kein DB-Insert</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bl>
    <w:p>
      <w:pPr>
        <w:spacing w:after="120"/>
      </w:pPr>
    </w:p>
    <w:p>
      <w:pPr>
        <w:spacing w:after="120" w:before="0" w:line="360"/>
        <w:jc w:val="both"/>
      </w:pPr>
      <w:r>
        <w:t xml:space="preserve">Während der Umsetzung wurden mehrere Fehler gefunden und behoben: ein falsch benannter Primärschlüssel in der BestandsbewegungDAO, ein falscher Datenbankname bzw. Port in der DBConnection sowie ein nicht im Schema vorgesehener ENUM-Wert (TRANSFER). Alle Fehler wurden über die Fehlermeldungen lokalisiert und im Projekttagebuch mit Ursache und Lösung dokumentiert.</w:t>
      </w:r>
    </w:p>
    <w:p>
      <w:pPr>
        <w:pStyle w:val="Heading2"/>
        <w:spacing w:after="120" w:before="200" w:line="360"/>
      </w:pPr>
      <w:r>
        <w:t xml:space="preserve">6.2	Soll-Ist-Vergleich</w:t>
      </w:r>
    </w:p>
    <w:p>
      <w:pPr>
        <w:spacing w:after="60" w:before="120" w:line="240"/>
      </w:pPr>
      <w:r>
        <w:rPr>
          <w:i/>
          <w:iCs/>
          <w:sz w:val="20"/>
          <w:szCs w:val="20"/>
        </w:rPr>
        <w:t xml:space="preserve">Tabelle </w:t>
      </w:r>
      <w:fldSimple w:instr="SEQ Tabelle \* ARABIC"/>
      <w:r>
        <w:rPr>
          <w:i/>
          <w:iCs/>
          <w:sz w:val="20"/>
          <w:szCs w:val="20"/>
        </w:rPr>
        <w:t xml:space="preserve">: Soll-Ist-Vergleich der Anforderungen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4535"/>
        <w:gridCol w:w="1451"/>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Anforderung</w:t>
            </w:r>
          </w:p>
        </w:tc>
        <w:tc>
          <w:tcPr>
            <w:tcW w:type="dxa" w:w="453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Umsetzung</w:t>
            </w:r>
          </w:p>
        </w:tc>
        <w:tc>
          <w:tcPr>
            <w:tcW w:type="dxa" w:w="145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Status</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 ≥ 5 Tabellen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6 Tabellen umgesetzt</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CRUD-Operationen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Vollständig für alle 6 Entitäten</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MVC-Architektur</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Model / View / Controller + DAO</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Such-/Filterfunktion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Name, Filter nach Station</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Mindestbestand-Warnung</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Rote Zeilenfärbung (RowFactory)</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Buchungshistorie</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Tabelle bestandsbewegungen</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bl>
    <w:p>
      <w:pPr>
        <w:spacing w:after="120"/>
      </w:pPr>
    </w:p>
    <w:p>
      <w:pPr>
        <w:pStyle w:val="Heading2"/>
        <w:spacing w:after="120" w:before="200" w:line="360"/>
      </w:pPr>
      <w:r>
        <w:t xml:space="preserve">6.3	Abnahme und Übergabe</w:t>
      </w:r>
    </w:p>
    <w:p>
      <w:pPr>
        <w:spacing w:after="120" w:before="0" w:line="360"/>
        <w:jc w:val="both"/>
      </w:pPr>
      <w:r>
        <w:t xml:space="preserve">Die formale Abnahme erfolgt durch Frau Cramer am Ende von Block 2 (KW 26, bis 26.06.2026). Grundlage ist die vollständige Umsetzung der Pflichtanforderungen: lauffähige Anwendung, stabile Datenbankverbindung, korrekte Such- und Filterfunktion, sichtbare Mindestbestand-Warnung sowie eine vollständige Dokumentation. Übergeben werden der Quellcode (Maven-Projekt, Git), das Datenbankskript (Anhang B), das Benutzerhandbuch (Anhang C), das ER-Diagramm (Anhang A) und die Projektdokumentation als PDF (Moodle).</w:t>
      </w:r>
    </w:p>
    <w:p>
      <w:pPr>
        <w:spacing w:after="120" w:before="0" w:line="360"/>
        <w:jc w:val="both"/>
      </w:pPr>
      <w:r>
        <w:t xml:space="preserve">Bekannte Einschränkungen der aktuellen Version: keine Benutzerverwaltung mit Login, keine automatische Nachbestellung (das System warnt nur), keine Netzwerkfunktion und kein Export nach PDF oder Excel.</w:t>
      </w:r>
    </w:p>
    <w:p>
      <w:pPr>
        <w:pStyle w:val="Heading1"/>
        <w:spacing w:after="120" w:before="280" w:line="360"/>
      </w:pPr>
      <w:r>
        <w:t xml:space="preserve">7	Dokumentation</w:t>
      </w:r>
    </w:p>
    <w:p>
      <w:pPr>
        <w:pStyle w:val="Heading2"/>
        <w:spacing w:after="120" w:before="200" w:line="360"/>
      </w:pPr>
      <w:r>
        <w:t xml:space="preserve">7.1	Benutzerhandbuch</w:t>
      </w:r>
    </w:p>
    <w:p>
      <w:pPr>
        <w:spacing w:after="120" w:before="0" w:line="360"/>
        <w:jc w:val="both"/>
      </w:pPr>
      <w:r>
        <w:t xml:space="preserve">Für die Endnutzer wurde ein ausführliches Benutzerhandbuch erstellt. Es erklärt Schritt für Schritt den Programmstart, die Navigation und jede Funktion – vom Anlegen eines Materials über das Suchen und Filtern bis zur Buchungshistorie – und enthält einen FAQ-Teil zur Fehlerbehebung. Das vollständige Handbuch befindet sich in Anhang C.</w:t>
      </w:r>
    </w:p>
    <w:p>
      <w:pPr>
        <w:pStyle w:val="Heading2"/>
        <w:spacing w:after="120" w:before="200" w:line="360"/>
      </w:pPr>
      <w:r>
        <w:t xml:space="preserve">7.2	Entwicklerdokumentation</w:t>
      </w:r>
    </w:p>
    <w:p>
      <w:pPr>
        <w:spacing w:after="120" w:before="0" w:line="360"/>
        <w:jc w:val="both"/>
      </w:pPr>
      <w:r>
        <w:t xml:space="preserve">Für die technische Nachvollziehbarkeit ist der Quellcode kommentiert und nach dem MVC- und DAO-Muster klar gegliedert (sprechende Klassen- und Methodennamen). Eine README beschreibt Aufbau und Start des Projekts, das Datenbankskript legt Schema und Testdaten an, und das Projekttagebuch hält alle Entscheidungen, Probleme und Lösungen fest. Damit kann die Anwendung später nachvollzogen und erweitert werden.</w:t>
      </w:r>
    </w:p>
    <w:p>
      <w:pPr>
        <w:pStyle w:val="Heading1"/>
        <w:spacing w:after="120" w:before="280" w:line="360"/>
      </w:pPr>
      <w:r>
        <w:t xml:space="preserve">8	Fazit</w:t>
      </w:r>
    </w:p>
    <w:p>
      <w:pPr>
        <w:pStyle w:val="Heading2"/>
        <w:spacing w:after="120" w:before="200" w:line="360"/>
      </w:pPr>
      <w:r>
        <w:t xml:space="preserve">8.1	Soll-Ist-Vergleich der Projektziele</w:t>
      </w:r>
    </w:p>
    <w:p>
      <w:pPr>
        <w:spacing w:after="120" w:before="0" w:line="360"/>
        <w:jc w:val="both"/>
      </w:pPr>
      <w:r>
        <w:t>Die Kernziele des Projekts wurden erreicht: Alle vier Pflichtanforderungen sind umgesetzt, die sechs Tabellen, das vollständige CRUD, die MVC-Architektur mit DAO-Schicht sowie Suche, Filter und Mindestbestand-Warnung funktionieren. Der Zeitplan hat sich als realistisch erwiesen; der eingeplante Puffer gab in der Test- und Dokumentationsphase Spielraum. Unterm Strich hat das gut geklappt.</w:t>
      </w:r>
    </w:p>
    <w:p>
      <w:pPr>
        <w:pStyle w:val="Heading2"/>
        <w:spacing w:after="120" w:before="200" w:line="360"/>
      </w:pPr>
      <w:r>
        <w:t xml:space="preserve">8.2	Lessons Learned</w:t>
      </w:r>
    </w:p>
    <w:p>
      <w:pPr>
        <w:spacing w:after="120" w:before="0" w:line="360"/>
        <w:jc w:val="both"/>
      </w:pPr>
      <w:r>
        <w:t xml:space="preserve">Aus dem Unterricht (Dino-Park-Beispiel von Frau Cramer) waren das DAO-Muster, die Singleton-Verbindung und der Aufbau von Model-Klassen bekannt. Darauf aufbauend habe ich mir selbstständig die JavaFX-Themen erarbeitet: TableView mit ObservableList, eine gefilterte Bestandssicht, Dialoge, TabPane und die Zeilenfärbung über eine RowFactory. Auf SQL-Ebene war die Berechnung des Bestands über eine Aggregation aus den Bewegungen eine wichtige Erkenntnis. Besonders hilfreich war ein strukturiertes Vorgehen bei Fehlern: Meldung lesen, Ursache eingrenzen, Lösung dokumentieren – und das Projekttagebuch konsequent pflegen.</w:t>
      </w:r>
    </w:p>
    <w:p>
      <w:pPr>
        <w:pStyle w:val="Heading2"/>
        <w:spacing w:after="120" w:before="200" w:line="360"/>
      </w:pPr>
      <w:r>
        <w:t xml:space="preserve">8.3	Ausblick</w:t>
      </w:r>
    </w:p>
    <w:p>
      <w:pPr>
        <w:spacing w:after="120" w:before="0" w:line="360"/>
        <w:jc w:val="both"/>
      </w:pPr>
      <w:r>
        <w:t xml:space="preserve">Für eine produktive Nutzung wären eine Benutzerverwaltung mit Login und Rollen, eine Backup-Funktion sowie ein Export nach PDF und Excel sinnvolle Erweiterungen. Außerdem würde ich Testfälle künftig früher und begleitend zur Entwicklung umsetzen und der Oberfläche von Beginn an ein einheitliches CSS-Stylesheet zugrunde legen. Diese Punkte wurden im aktuellen Zeitrahmen bewusst als optional eingestuft.</w:t>
      </w:r>
    </w:p>
    <w:p>
      <w:r>
        <w:br w:type="page"/>
      </w:r>
    </w:p>
    <w:p>
      <w:pPr>
        <w:pStyle w:val="Heading1"/>
        <w:spacing w:after="120" w:before="280" w:line="360"/>
      </w:pPr>
      <w:r>
        <w:t xml:space="preserve">Abgabeerklärung</w:t>
      </w:r>
    </w:p>
    <w:p>
      <w:pPr>
        <w:spacing w:after="120" w:before="0" w:line="360"/>
        <w:jc w:val="both"/>
      </w:pPr>
      <w:r>
        <w:t xml:space="preserve">Ich erkläre hiermit, dass ich diese Projektdokumentation selbstständig verfasst und keine anderen als die angegebenen Quellen und Hilfsmittel verwendet habe.</w:t>
      </w:r>
    </w:p>
    <w:p>
      <w:pPr>
        <w:spacing w:after="30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Borders>
              <w:top w:val="single" w:color="B9C7D6" w:sz="1"/>
              <w:left w:val="single" w:color="B9C7D6" w:sz="1"/>
              <w:bottom w:val="single" w:color="222222" w:sz="6"/>
              <w:right w:val="single" w:color="B9C7D6" w:sz="1"/>
            </w:tcBorders>
            <w:tcMar>
              <w:top w:type="dxa" w:w="300"/>
              <w:left w:type="dxa" w:w="120"/>
              <w:bottom w:type="dxa" w:w="60"/>
              <w:right w:type="dxa" w:w="120"/>
            </w:tcMar>
          </w:tcPr>
          <w:p>
            <w:pPr>
              <w:spacing w:line="240"/>
            </w:pPr>
            <w:r>
              <w:rPr>
                <w:sz w:val="22"/>
                <w:szCs w:val="22"/>
              </w:rPr>
              <w:t xml:space="preserve">Ort, Datum</w:t>
            </w:r>
          </w:p>
        </w:tc>
        <w:tc>
          <w:tcPr>
            <w:tcW w:type="dxa" w:w="4535"/>
            <w:tcBorders>
              <w:top w:val="single" w:color="B9C7D6" w:sz="1"/>
              <w:left w:val="single" w:color="B9C7D6" w:sz="1"/>
              <w:bottom w:val="single" w:color="222222" w:sz="6"/>
              <w:right w:val="single" w:color="B9C7D6" w:sz="1"/>
            </w:tcBorders>
            <w:tcMar>
              <w:top w:type="dxa" w:w="300"/>
              <w:left w:type="dxa" w:w="120"/>
              <w:bottom w:type="dxa" w:w="60"/>
              <w:right w:type="dxa" w:w="120"/>
            </w:tcMar>
          </w:tcPr>
          <w:p>
            <w:pPr>
              <w:spacing w:line="240"/>
            </w:pPr>
            <w:r>
              <w:rPr>
                <w:sz w:val="22"/>
                <w:szCs w:val="22"/>
              </w:rPr>
              <w:t xml:space="preserve">Unterschrift (Sascha Schulz)</w:t>
            </w:r>
          </w:p>
        </w:tc>
      </w:tr>
    </w:tbl>
    <w:sectPr>
      <w:footerReference w:type="default" r:id="rId7"/>
      <w:pgSz w:w="11906" w:h="16838" w:orient="portrait"/>
      <w:pgMar w:top="1418" w:right="1418"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7D6" w:sz="4" w:space="6"/>
      </w:pBdr>
      <w:spacing w:line="240"/>
      <w:jc w:val="center"/>
    </w:pPr>
    <w:r>
      <w:rPr>
        <w:color w:val="666666"/>
        <w:sz w:val="18"/>
        <w:szCs w:val="18"/>
      </w:rPr>
      <w:t xml:space="preserve">Projektdokumentation - Sascha Schulz (Gruppe 2551)   -   Seite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rFonts w:ascii="Times New Roman" w:hAnsi="Times New Roman"/>
      <w:b/>
      <w:i w:val="0"/>
      <w:color w:val="000000"/>
      <w:sz w:val="40"/>
      <w:szCs w:val="56"/>
    </w:rPr>
  </w:style>
  <w:style w:type="paragraph" w:styleId="Heading1">
    <w:name w:val="Heading 1"/>
    <w:basedOn w:val="Normal"/>
    <w:next w:val="Normal"/>
    <w:qFormat/>
    <w:rPr>
      <w:rFonts w:ascii="Times New Roman" w:hAnsi="Times New Roman"/>
      <w:b/>
      <w:i w:val="0"/>
      <w:color w:val="000000"/>
      <w:sz w:val="28"/>
      <w:szCs w:val="32"/>
    </w:rPr>
  </w:style>
  <w:style w:type="paragraph" w:styleId="Heading2">
    <w:name w:val="Heading 2"/>
    <w:basedOn w:val="Normal"/>
    <w:next w:val="Normal"/>
    <w:qFormat/>
    <w:rPr>
      <w:rFonts w:ascii="Times New Roman" w:hAnsi="Times New Roman"/>
      <w:b/>
      <w:i w:val="0"/>
      <w:color w:val="000000"/>
      <w:sz w:val="24"/>
      <w:szCs w:val="26"/>
    </w:rPr>
  </w:style>
  <w:style w:type="paragraph" w:styleId="Heading3">
    <w:name w:val="Heading 3"/>
    <w:basedOn w:val="Normal"/>
    <w:next w:val="Normal"/>
    <w:qFormat/>
    <w:rPr>
      <w:rFonts w:ascii="Times New Roman" w:hAnsi="Times New Roman"/>
      <w:b/>
      <w:i/>
      <w:color w:val="000000"/>
      <w:sz w:val="24"/>
      <w:szCs w:val="24"/>
    </w:rPr>
  </w:style>
  <w:style w:type="paragraph" w:styleId="Heading4">
    <w:name w:val="Heading 4"/>
    <w:basedOn w:val="Normal"/>
    <w:next w:val="Normal"/>
    <w:qFormat/>
    <w:rPr>
      <w:rFonts w:ascii="Times New Roman" w:hAnsi="Times New Roman"/>
      <w:b/>
      <w:i/>
      <w:iCs/>
      <w:color w:val="000000"/>
      <w:sz w:val="24"/>
    </w:rPr>
  </w:style>
  <w:style w:type="paragraph" w:styleId="Heading5">
    <w:name w:val="Heading 5"/>
    <w:basedOn w:val="Normal"/>
    <w:next w:val="Normal"/>
    <w:qFormat/>
    <w:rPr>
      <w:rFonts w:ascii="Times New Roman" w:hAnsi="Times New Roman"/>
      <w:b/>
      <w:i/>
      <w:color w:val="000000"/>
      <w:sz w:val="24"/>
    </w:rPr>
  </w:style>
  <w:style w:type="paragraph" w:styleId="Heading6">
    <w:name w:val="Heading 6"/>
    <w:basedOn w:val="Normal"/>
    <w:next w:val="Normal"/>
    <w:qFormat/>
    <w:rPr>
      <w:rFonts w:ascii="Times New Roman" w:hAnsi="Times New Roman"/>
      <w:b/>
      <w:i/>
      <w:color w:val="000000"/>
      <w:sz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i w:val="0"/>
      <w:color w:val="000000"/>
      <w:sz w:val="28"/>
      <w:szCs w:val="32"/>
    </w:rPr>
  </w:style>
  <w:style w:type="paragraph" w:styleId="Heading2">
    <w:name w:val="Heading 2"/>
    <w:basedOn w:val="Normal"/>
    <w:next w:val="Normal"/>
    <w:qFormat/>
    <w:pPr>
      <w:keepNext/>
      <w:spacing w:after="120" w:before="200"/>
      <w:outlineLvl w:val="1"/>
    </w:pPr>
    <w:rPr>
      <w:rFonts w:ascii="Times New Roman" w:cs="Times New Roman" w:eastAsia="Times New Roman" w:hAnsi="Times New Roman"/>
      <w:b/>
      <w:bCs/>
      <w:i w:val="0"/>
      <w:color w:val="000000"/>
      <w:sz w:val="24"/>
      <w:szCs w:val="28"/>
    </w:rPr>
  </w:style>
  <w:style w:type="paragraph" w:styleId="Heading3">
    <w:name w:val="Heading 3"/>
    <w:basedOn w:val="Normal"/>
    <w:next w:val="Normal"/>
    <w:qFormat/>
    <w:pPr>
      <w:keepNext/>
      <w:spacing w:after="100" w:before="160"/>
      <w:outlineLvl w:val="2"/>
    </w:pPr>
    <w:rPr>
      <w:rFonts w:ascii="Times New Roman" w:cs="Times New Roman" w:eastAsia="Times New Roman" w:hAnsi="Times New Roman"/>
      <w:b/>
      <w:bCs/>
      <w:i/>
      <w:color w:val="000000"/>
      <w:sz w:val="24"/>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2026-06-08T19:11:32.892Z</dcterms:created>
  <dcterms:modified xsi:type="dcterms:W3CDTF">2026-06-08T19:11:32.892Z</dcterms:modified>
</cp:coreProperties>
</file>

<file path=docProps/custom.xml><?xml version="1.0" encoding="utf-8"?>
<Properties xmlns="http://schemas.openxmlformats.org/officeDocument/2006/custom-properties" xmlns:vt="http://schemas.openxmlformats.org/officeDocument/2006/docPropsVTypes"/>
</file>