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line="360"/>
      </w:pPr>
      <w:r>
        <w:t xml:space="preserve">4	Entwurfsphase</w:t>
      </w:r>
    </w:p>
    <w:p>
      <w:pPr>
        <w:pStyle w:val="Heading2"/>
        <w:spacing w:after="120" w:before="200" w:line="360"/>
      </w:pPr>
      <w:r>
        <w:t xml:space="preserve">4.1	Datenbankentwurf</w:t>
      </w:r>
    </w:p>
    <w:p>
      <w:pPr>
        <w:spacing w:after="120" w:before="0" w:line="360"/>
        <w:jc w:val="both"/>
      </w:pPr>
      <w:r>
        <w:t>Auf Basis der Anforderungen wurde das Datenmodell in sechs normalisierten Tabellen (3. Normalform) entworfen. Der aktuelle Bestand steht nicht als Feld im Material, sondern wird aus den Bewegungen berechnet – Summe der Eingänge minus Summe der Ausgänge. Dadurch kann er nicht von der tatsächlichen Buchungslage abweichen, und die Historie bleibt vollständig nachvollziehbar.</w:t>
      </w:r>
    </w:p>
    <w:p>
      <w:pPr>
        <w:spacing w:after="60" w:before="120" w:line="240"/>
      </w:pPr>
      <w:r>
        <w:rPr>
          <w:i/>
          <w:iCs/>
          <w:sz w:val="20"/>
          <w:szCs w:val="20"/>
        </w:rPr>
        <w:t xml:space="preserve">Tabelle </w:t>
      </w:r>
      <w:fldSimple w:instr="SEQ Tabelle \* ARABIC"/>
      <w:r>
        <w:rPr>
          <w:i/>
          <w:iCs/>
          <w:sz w:val="20"/>
          <w:szCs w:val="20"/>
        </w:rPr>
        <w:t xml:space="preserve">: Datenbanktabellen im Überblick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Tabelle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Zweck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(z. B. Verband, Injektion)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Medizinische Lieferanten mit Kontaktdaten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Lagerorte im Krankenhaus</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aller Materialien inkl. Mindestbestand</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Bestellhistorie mit Status und Lieferdatum</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 (EINGANG/AUSGANG); Bestand daraus berechnet</w:t>
            </w:r>
          </w:p>
        </w:tc>
      </w:tr>
    </w:tbl>
    <w:p>
      <w:pPr>
        <w:spacing w:after="120"/>
      </w:pPr>
    </w:p>
    <w:p>
      <w:pPr>
        <w:spacing w:after="40" w:before="80"/>
        <w:jc w:val="center"/>
      </w:pPr>
      <w:r>
        <w:drawing>
          <wp:inline distT="0" distB="0" distL="0" distR="0">
            <wp:extent cx="5715000" cy="2714625"/>
            <wp:effectExtent t="0" r="0" b="0" l="0"/>
            <wp:docPr id="1" name="ER-Diagramm der Datenbank (6 T" descr="ER-Diagramm der Datenbank (6 Tabellen, 3NF)" title="ER-Diagramm der Datenbank (6 Tabelle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(6 Tabellen, 3NF)</w:t>
      </w:r>
    </w:p>
    <w:p>
      <w:pPr>
        <w:pStyle w:val="Heading2"/>
        <w:spacing w:after="120" w:before="200" w:line="360"/>
      </w:pPr>
      <w:r>
        <w:t xml:space="preserve">4.2	Architekturentwurf (MVC + DAO)</w:t>
      </w:r>
    </w:p>
    <w:p>
      <w:pPr>
        <w:spacing w:after="120" w:before="0" w:line="360"/>
        <w:jc w:val="both"/>
      </w:pPr>
      <w:r>
        <w:t>Die Anwendung folgt dem Muster Model-View-Controller, ergänzt um eine DAO-Schicht für den Datenbankzugriff. Die View (JavaFX/FXML) zeigt Daten an und nimmt Eingaben entgegen, der Controller steuert die Bedienlogik, die DAO-Klassen kapseln sämtliche SQL-Zugriffe, und die Model-Klassen sind einfache Datenobjekte (POJOs). Weil jede Schicht eine klar umrissene Aufgabe hat, bleibt der Code überschaubar und lässt sich später leichter anpassen.</w:t>
      </w:r>
    </w:p>
    <w:p>
      <w:pPr>
        <w:spacing w:after="120" w:before="0" w:line="360"/>
        <w:jc w:val="both"/>
      </w:pPr>
      <w:r>
        <w:t>Alle sechs DAO-Klassen teilen denselben CRUD-Vertrag. Damit dieser nur an einer Stelle steht, wurde er in der Schnittstelle GenericDAO&lt;T&gt; zentral definiert. Eine Schnittstelle legt lediglich die Methodenköpfe fest, nicht deren Inhalt; jede Klasse, die sie implementiert, muss die Methoden selbst ausprogrammieren. Der Typ-Platzhalter &lt;T&gt; aus den Java-Generics wird dabei erst beim Implementieren mit der jeweiligen Modellklasse belegt (etwa MaterialDAO implements GenericDAO&lt;Material&gt;). Eine einzige Schnittstelle reicht so für alle Entitäten.</w:t>
      </w:r>
    </w:p>
    <w:p>
      <w:pPr>
        <w:spacing w:after="120" w:before="0" w:line="360"/>
        <w:jc w:val="both"/>
      </w:pPr>
      <w:r>
        <w:t>Auch die Controller-Schicht wurde aufgeteilt. Der MainController ist nur noch Verteiler – er nimmt die Aktionen der Oberfläche entgegen und gibt sie an die zuständige Klasse weiter. Der immer gleiche Ablauf zum Anlegen, Bearbeiten, Löschen und Laden steckt in der abstrakten Basisklasse EntityCrud&lt;T&gt;; pro Reiter kommt eine kleine, gleich aufgebaute Klasse wie MaterialCrud hinzu, die nur die Besonderheiten ergänzt. So schrumpfte der MainController von rund 700 auf etwa 330 Zeilen, und wiederkehrender Code steht nur noch an einer Stelle.</w:t>
      </w:r>
    </w:p>
    <w:p>
      <w:pPr>
        <w:spacing w:after="40" w:before="80"/>
        <w:jc w:val="center"/>
      </w:pPr>
      <w:r>
        <w:drawing>
          <wp:inline distT="0" distB="0" distL="0" distR="0">
            <wp:extent cx="3048000" cy="3143250"/>
            <wp:effectExtent t="0" r="0" b="0" l="0"/>
            <wp:docPr id="1" name="Schichtenarchitektur (MVC mit " descr="Schichtenarchitektur (MVC mit DAO-Schicht)" title="Schichtenarchitektur (MVC mit DAO-Sch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Schichtenarchitektur (MVC mit DAO-Schicht)</w:t>
      </w:r>
    </w:p>
    <w:p>
      <w:pPr>
        <w:pStyle w:val="Heading2"/>
        <w:spacing w:after="120" w:before="200" w:line="360"/>
      </w:pPr>
      <w:r>
        <w:t xml:space="preserve">4.3	Entwurf der Benutzeroberfläche</w:t>
      </w:r>
    </w:p>
    <w:p>
      <w:pPr>
        <w:spacing w:after="120" w:before="0" w:line="360"/>
        <w:jc w:val="both"/>
      </w:pPr>
      <w:r>
        <w:t>Die Oberfläche besteht aus einem Hauptfenster mit sieben Registerkarten (TabPane). Auf der ersten Karte „Bestandsübersicht“ liegt oben eine Such- und Filterleiste mit einem Suchfeld für den Namen und einer Auswahl der Station, darunter die Bestandstabelle; Zeilen mit zu niedrigem Bestand werden rot hervorgehoben. Die übrigen Karten – Materialien, Kategorien, Stationslager, Lieferanten, Bestellungen und Bestandsbewegungen – bieten je Entität die Schaltflächen Anlegen, Bearbeiten und Löschen.</w:t>
      </w:r>
    </w:p>
    <w:p>
      <w:pPr>
        <w:spacing w:after="40" w:before="80"/>
        <w:jc w:val="center"/>
      </w:pPr>
      <w:r>
        <w:drawing>
          <wp:inline distT="0" distB="0" distL="0" distR="0">
            <wp:extent cx="5715000" cy="2714625"/>
            <wp:effectExtent t="0" r="0" b="0" l="0"/>
            <wp:docPr id="1" name="Entwurf des Hauptfensters (Bes" descr="Entwurf des Hauptfensters (Bestandsübersicht)" title="Entwurf des Hauptfensters (Bestands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Entwurf des Hauptfensters (Bestandsübersicht)</w:t>
      </w:r>
    </w:p>
    <w:p>
      <w:pPr>
        <w:pStyle w:val="Heading2"/>
        <w:spacing w:after="120" w:before="200" w:line="360"/>
      </w:pPr>
      <w:r>
        <w:t xml:space="preserve">4.4	Pflichtenheft</w:t>
      </w:r>
    </w:p>
    <w:p>
      <w:pPr>
        <w:spacing w:after="120" w:before="0" w:line="360"/>
        <w:jc w:val="both"/>
      </w:pPr>
      <w:r>
        <w:t>Das Pflichtenheft hält fest, wie die Anforderungen technisch umgesetzt werden. Die sechs Tabellen bilden das MySQL-Schema, die CRUD-Operationen laufen je Entität über PreparedStatements, und die Struktur folgt dem MVC-Muster mit DAO-Schicht. Die Bestandssicht wird nach Name und Station gefiltert, die Mindestbestand-Warnung übernimmt eine RowFactory, die betroffene Zeilen einfärbt. Die optionalen Module Lieferanten, Bestellungen und Bestandsbewegungen sind erst vorgesehen, sobald der Kern vollständig steht.</w:t>
      </w:r>
    </w:p>
    <w:p>
      <w:pPr>
        <w:pStyle w:val="Heading1"/>
        <w:spacing w:after="120" w:before="280" w:line="360"/>
      </w:pPr>
      <w:r>
        <w:t xml:space="preserve">5	Implementierungsphase</w:t>
      </w:r>
    </w:p>
    <w:p>
      <w:pPr>
        <w:spacing w:after="120" w:before="0" w:line="360"/>
        <w:jc w:val="both"/>
      </w:pPr>
      <w:r>
        <w:t>Dieses Kapitel zeigt die Umsetzung an einigen repräsentativen Code-Auszügen; der vollständige Quellcode liegt dem Abgabepaket bei.</w:t>
      </w:r>
    </w:p>
    <w:p>
      <w:pPr>
        <w:pStyle w:val="Heading2"/>
        <w:spacing w:after="120" w:before="200" w:line="360"/>
      </w:pPr>
      <w:r>
        <w:t xml:space="preserve">5.1	Datenbank und JDBC-Verbindung</w:t>
      </w:r>
    </w:p>
    <w:p>
      <w:pPr>
        <w:spacing w:after="120" w:before="0" w:line="360"/>
        <w:jc w:val="both"/>
      </w:pPr>
      <w:r>
        <w:t xml:space="preserve">Das CREATE-Skript legt alle sechs Tabellen mit Primär- und Fremdschlüsseln an. Beispielhaft die Haupttabelle materialien: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w:t>
            </w:r>
          </w:p>
          <w:p>
            <w:pPr>
              <w:spacing w:after="0" w:line="230"/>
            </w:pPr>
            <w:r>
              <w:rPr>
                <w:rFonts w:ascii="Consolas" w:cs="Consolas" w:eastAsia="Consolas" w:hAnsi="Consolas"/>
                <w:color w:val="1A1A1A"/>
                <w:sz w:val="18"/>
                <w:szCs w:val="18"/>
              </w:rPr>
              <w:t xml:space="preserve">  einheit        VARCHAR(30)  NOT NULL,</w:t>
            </w:r>
          </w:p>
          <w:p>
            <w:pPr>
              <w:spacing w:after="0" w:line="230"/>
            </w:pPr>
            <w:r>
              <w:rPr>
                <w:rFonts w:ascii="Consolas" w:cs="Consolas" w:eastAsia="Consolas" w:hAnsi="Consolas"/>
                <w:color w:val="1A1A1A"/>
                <w:sz w:val="18"/>
                <w:szCs w:val="18"/>
              </w:rPr>
              <w:t xml:space="preserve">  mindestbestand INT NOT NULL DEFAULT 0,</w:t>
            </w:r>
          </w:p>
          <w:p>
            <w:pPr>
              <w:spacing w:after="0" w:line="230"/>
            </w:pPr>
            <w:r>
              <w:rPr>
                <w:rFonts w:ascii="Consolas" w:cs="Consolas" w:eastAsia="Consolas" w:hAnsi="Consolas"/>
                <w:color w:val="1A1A1A"/>
                <w:sz w:val="18"/>
                <w:szCs w:val="18"/>
              </w:rPr>
              <w:t xml:space="preserve">  kategorie_id   INT NOT NULL,</w:t>
            </w:r>
          </w:p>
          <w:p>
            <w:pPr>
              <w:spacing w:after="0" w:line="230"/>
            </w:pPr>
            <w:r>
              <w:rPr>
                <w:rFonts w:ascii="Consolas" w:cs="Consolas" w:eastAsia="Consolas" w:hAnsi="Consolas"/>
                <w:color w:val="1A1A1A"/>
                <w:sz w:val="18"/>
                <w:szCs w:val="18"/>
              </w:rPr>
              <w:t xml:space="preserve">  FOREIGN KEY (kategorie_id)</w:t>
            </w:r>
          </w:p>
          <w:p>
            <w:pPr>
              <w:spacing w:after="0" w:line="230"/>
            </w:pPr>
            <w:r>
              <w:rPr>
                <w:rFonts w:ascii="Consolas" w:cs="Consolas" w:eastAsia="Consolas" w:hAnsi="Consolas"/>
                <w:color w:val="1A1A1A"/>
                <w:sz w:val="18"/>
                <w:szCs w:val="18"/>
              </w:rPr>
              <w:t xml:space="preserve">    REFERENCES kategorien(kategorie_id)</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CREATE-Statement der Tabelle materialien</w:t>
      </w:r>
    </w:p>
    <w:p>
      <w:pPr>
        <w:spacing w:after="120" w:before="0" w:line="360"/>
        <w:jc w:val="both"/>
      </w:pPr>
      <w:r>
        <w:t xml:space="preserve">Die Datenbankverbindung ist als Singleton umgesetzt, damit nur eine wiederverwendbare Verbindung besteht: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class DBConnection {</w:t>
            </w:r>
          </w:p>
          <w:p>
            <w:pPr>
              <w:spacing w:after="0" w:line="230"/>
            </w:pPr>
            <w:r>
              <w:rPr>
                <w:rFonts w:ascii="Consolas" w:cs="Consolas" w:eastAsia="Consolas" w:hAnsi="Consolas"/>
                <w:color w:val="1A1A1A"/>
                <w:sz w:val="18"/>
                <w:szCs w:val="18"/>
              </w:rPr>
              <w:t xml:space="preserve">  private static final String URL =</w:t>
            </w:r>
          </w:p>
          <w:p>
            <w:pPr>
              <w:spacing w:after="0" w:line="230"/>
            </w:pPr>
            <w:r>
              <w:rPr>
                <w:rFonts w:ascii="Consolas" w:cs="Consolas" w:eastAsia="Consolas" w:hAnsi="Consolas"/>
                <w:color w:val="1A1A1A"/>
                <w:sz w:val="18"/>
                <w:szCs w:val="18"/>
              </w:rPr>
              <w:t xml:space="preserve">      "jdbc:mysql://127.0.0.1:3324/DOIT"</w:t>
            </w:r>
          </w:p>
          <w:p>
            <w:pPr>
              <w:spacing w:after="0" w:line="230"/>
            </w:pPr>
            <w:r>
              <w:rPr>
                <w:rFonts w:ascii="Consolas" w:cs="Consolas" w:eastAsia="Consolas" w:hAnsi="Consolas"/>
                <w:color w:val="1A1A1A"/>
                <w:sz w:val="18"/>
                <w:szCs w:val="18"/>
              </w:rPr>
              <w:t xml:space="preserve">    + "?serverTimezone=Europe/Berlin";</w:t>
            </w:r>
          </w:p>
          <w:p>
            <w:pPr>
              <w:spacing w:after="0" w:line="230"/>
            </w:pPr>
            <w:r>
              <w:rPr>
                <w:rFonts w:ascii="Consolas" w:cs="Consolas" w:eastAsia="Consolas" w:hAnsi="Consolas"/>
                <w:color w:val="1A1A1A"/>
                <w:sz w:val="18"/>
                <w:szCs w:val="18"/>
              </w:rPr>
              <w:t xml:space="preserve">  private static Connection connection;</w:t>
            </w:r>
          </w:p>
          <w:p>
            <w:pPr>
              <w:spacing w:after="0" w:line="230"/>
            </w:pPr>
            <w:r>
              <w:rPr>
                <w:rFonts w:ascii="Consolas" w:cs="Consolas" w:eastAsia="Consolas" w:hAnsi="Consolas"/>
                <w:color w:val="1A1A1A"/>
                <w:sz w:val="18"/>
                <w:szCs w:val="18"/>
              </w:rPr>
              <w:t xml:space="preserve">  public static Connection getConnection() throws SQLException {</w:t>
            </w:r>
          </w:p>
          <w:p>
            <w:pPr>
              <w:spacing w:after="0" w:line="230"/>
            </w:pPr>
            <w:r>
              <w:rPr>
                <w:rFonts w:ascii="Consolas" w:cs="Consolas" w:eastAsia="Consolas" w:hAnsi="Consolas"/>
                <w:color w:val="1A1A1A"/>
                <w:sz w:val="18"/>
                <w:szCs w:val="18"/>
              </w:rPr>
              <w:t xml:space="preserve">    if (connection == null || connection.isClosed())</w:t>
            </w:r>
          </w:p>
          <w:p>
            <w:pPr>
              <w:spacing w:after="0" w:line="230"/>
            </w:pPr>
            <w:r>
              <w:rPr>
                <w:rFonts w:ascii="Consolas" w:cs="Consolas" w:eastAsia="Consolas" w:hAnsi="Consolas"/>
                <w:color w:val="1A1A1A"/>
                <w:sz w:val="18"/>
                <w:szCs w:val="18"/>
              </w:rPr>
              <w:t xml:space="preserve">      connection = DriverManager.getConnection(URL, "root", "1234");</w:t>
            </w:r>
          </w:p>
          <w:p>
            <w:pPr>
              <w:spacing w:after="0" w:line="230"/>
            </w:pPr>
            <w:r>
              <w:rPr>
                <w:rFonts w:ascii="Consolas" w:cs="Consolas" w:eastAsia="Consolas" w:hAnsi="Consolas"/>
                <w:color w:val="1A1A1A"/>
                <w:sz w:val="18"/>
                <w:szCs w:val="18"/>
              </w:rPr>
              <w:t xml:space="preserve">    return connection;</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Singleton-Datenbankverbindung (DBConnection)</w:t>
      </w:r>
    </w:p>
    <w:p>
      <w:pPr>
        <w:pStyle w:val="Heading2"/>
        <w:spacing w:after="120" w:before="200" w:line="360"/>
      </w:pPr>
      <w:r>
        <w:t xml:space="preserve">5.2	DAO-Schicht und Model-Klassen</w:t>
      </w:r>
    </w:p>
    <w:p>
      <w:pPr>
        <w:spacing w:after="120" w:before="0" w:line="360"/>
        <w:jc w:val="both"/>
      </w:pPr>
      <w:r>
        <w:t xml:space="preserve">Jede DAO-Klasse setzt die CRUD-Operationen um. Lesende Zugriffe liefern Listen über findAll(); schreibende Zugriffe nutzen PreparedStatements gegen SQL-Injection. Beispiel für das Anlegen eines Materials: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Material create(Material material) throws SQLException {</w:t>
            </w:r>
          </w:p>
          <w:p>
            <w:pPr>
              <w:spacing w:after="0" w:line="230"/>
            </w:pPr>
            <w:r>
              <w:rPr>
                <w:rFonts w:ascii="Consolas" w:cs="Consolas" w:eastAsia="Consolas" w:hAnsi="Consolas"/>
                <w:color w:val="1A1A1A"/>
                <w:sz w:val="18"/>
                <w:szCs w:val="18"/>
              </w:rPr>
              <w:t xml:space="preserve">  String sql = "INSERT INTO materialien (name, einheit, "</w:t>
            </w:r>
          </w:p>
          <w:p>
            <w:pPr>
              <w:spacing w:after="0" w:line="230"/>
            </w:pPr>
            <w:r>
              <w:rPr>
                <w:rFonts w:ascii="Consolas" w:cs="Consolas" w:eastAsia="Consolas" w:hAnsi="Consolas"/>
                <w:color w:val="1A1A1A"/>
                <w:sz w:val="18"/>
                <w:szCs w:val="18"/>
              </w:rPr>
              <w:t xml:space="preserve">             + "mindestbestand, kategorie_id) VALUES (?, ?, ?, ?)";</w:t>
            </w:r>
          </w:p>
          <w:p>
            <w:pPr>
              <w:spacing w:after="0" w:line="230"/>
            </w:pPr>
            <w:r>
              <w:rPr>
                <w:rFonts w:ascii="Consolas" w:cs="Consolas" w:eastAsia="Consolas" w:hAnsi="Consolas"/>
                <w:color w:val="1A1A1A"/>
                <w:sz w:val="18"/>
                <w:szCs w:val="18"/>
              </w:rPr>
              <w:t xml:space="preserve">  Connection conn = DBConnection.getConnection();</w:t>
            </w:r>
          </w:p>
          <w:p>
            <w:pPr>
              <w:spacing w:after="0" w:line="230"/>
            </w:pPr>
            <w:r>
              <w:rPr>
                <w:rFonts w:ascii="Consolas" w:cs="Consolas" w:eastAsia="Consolas" w:hAnsi="Consolas"/>
                <w:color w:val="1A1A1A"/>
                <w:sz w:val="18"/>
                <w:szCs w:val="18"/>
              </w:rPr>
              <w:t xml:space="preserve">  try (PreparedStatement ps = conn.prepareStatement(sql,</w:t>
            </w:r>
          </w:p>
          <w:p>
            <w:pPr>
              <w:spacing w:after="0" w:line="230"/>
            </w:pPr>
            <w:r>
              <w:rPr>
                <w:rFonts w:ascii="Consolas" w:cs="Consolas" w:eastAsia="Consolas" w:hAnsi="Consolas"/>
                <w:color w:val="1A1A1A"/>
                <w:sz w:val="18"/>
                <w:szCs w:val="18"/>
              </w:rPr>
              <w:t xml:space="preserve">           Statement.RETURN_GENERATED_KEYS)) {</w:t>
            </w:r>
          </w:p>
          <w:p>
            <w:pPr>
              <w:spacing w:after="0" w:line="230"/>
            </w:pPr>
            <w:r>
              <w:rPr>
                <w:rFonts w:ascii="Consolas" w:cs="Consolas" w:eastAsia="Consolas" w:hAnsi="Consolas"/>
                <w:color w:val="1A1A1A"/>
                <w:sz w:val="18"/>
                <w:szCs w:val="18"/>
              </w:rPr>
              <w:t xml:space="preserve">    ps.setString(1, material.getName());</w:t>
            </w:r>
          </w:p>
          <w:p>
            <w:pPr>
              <w:spacing w:after="0" w:line="230"/>
            </w:pPr>
            <w:r>
              <w:rPr>
                <w:rFonts w:ascii="Consolas" w:cs="Consolas" w:eastAsia="Consolas" w:hAnsi="Consolas"/>
                <w:color w:val="1A1A1A"/>
                <w:sz w:val="18"/>
                <w:szCs w:val="18"/>
              </w:rPr>
              <w:t xml:space="preserve">    ps.setString(2, material.getEinheit());</w:t>
            </w:r>
          </w:p>
          <w:p>
            <w:pPr>
              <w:spacing w:after="0" w:line="230"/>
            </w:pPr>
            <w:r>
              <w:rPr>
                <w:rFonts w:ascii="Consolas" w:cs="Consolas" w:eastAsia="Consolas" w:hAnsi="Consolas"/>
                <w:color w:val="1A1A1A"/>
                <w:sz w:val="18"/>
                <w:szCs w:val="18"/>
              </w:rPr>
              <w:t xml:space="preserve">    ps.setInt(3, material.getMindestbestand());</w:t>
            </w:r>
          </w:p>
          <w:p>
            <w:pPr>
              <w:spacing w:after="0" w:line="230"/>
            </w:pPr>
            <w:r>
              <w:rPr>
                <w:rFonts w:ascii="Consolas" w:cs="Consolas" w:eastAsia="Consolas" w:hAnsi="Consolas"/>
                <w:color w:val="1A1A1A"/>
                <w:sz w:val="18"/>
                <w:szCs w:val="18"/>
              </w:rPr>
              <w:t xml:space="preserve">    ps.setInt(4, material.getKategorieId());</w:t>
            </w:r>
          </w:p>
          <w:p>
            <w:pPr>
              <w:spacing w:after="0" w:line="230"/>
            </w:pPr>
            <w:r>
              <w:rPr>
                <w:rFonts w:ascii="Consolas" w:cs="Consolas" w:eastAsia="Consolas" w:hAnsi="Consolas"/>
                <w:color w:val="1A1A1A"/>
                <w:sz w:val="18"/>
                <w:szCs w:val="18"/>
              </w:rPr>
              <w:t xml:space="preserve">    ps.executeUpdate();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return material;</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CRUD-Beispiel: create() in MaterialDAO</w:t>
      </w:r>
    </w:p>
    <w:p>
      <w:pPr>
        <w:spacing w:after="120" w:before="0" w:line="360"/>
        <w:jc w:val="both"/>
      </w:pPr>
      <w:r>
        <w:t>Damit der CRUD-Vertrag nicht in jeder Klasse neu beschrieben werden muss, definieren ihn alle DAO-Klassen über die gemeinsame Schnittstelle GenericDAO&lt;T&gt;. Das Interface enthält nur die vier Methodenköpfe create, findAll, update und delete; wer es implementiert, muss sie ausprogrammieren, sonst verweigert der Compiler die Übersetzung. Der Typ-Platzhalter &lt;T&gt; stammt aus den Java-Generics und steht immer für einen Referenztyp, also ein Objekt wie Material oder Kategorie; festgelegt wird er beim Implementieren. delete(int id) nutzt dagegen den Wertetyp int, und findAll() gibt seine Ergebnisse als List&lt;T&gt; zurück. An dieser einen Stelle treffen damit Wertetyp, Referenztyp und Collection zusammen – drei Konzepte, die sonst im Code verstreut auftauchen würden.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interface GenericDAO&lt;T&gt; {</w:t>
            </w:r>
          </w:p>
          <w:p>
            <w:pPr>
              <w:spacing w:after="0" w:line="230"/>
            </w:pPr>
            <w:r>
              <w:rPr>
                <w:rFonts w:ascii="Consolas" w:cs="Consolas" w:eastAsia="Consolas" w:hAnsi="Consolas"/>
                <w:color w:val="1A1A1A"/>
                <w:sz w:val="18"/>
                <w:szCs w:val="18"/>
              </w:rPr>
              <w:t xml:space="preserve">    T       create(T obj)   throws SQLException;</w:t>
            </w:r>
          </w:p>
          <w:p>
            <w:pPr>
              <w:spacing w:after="0" w:line="230"/>
            </w:pPr>
            <w:r>
              <w:rPr>
                <w:rFonts w:ascii="Consolas" w:cs="Consolas" w:eastAsia="Consolas" w:hAnsi="Consolas"/>
                <w:color w:val="1A1A1A"/>
                <w:sz w:val="18"/>
                <w:szCs w:val="18"/>
              </w:rPr>
              <w:t xml:space="preserve">    List&lt;T&gt; findAll()       throws SQLException;</w:t>
            </w:r>
          </w:p>
          <w:p>
            <w:pPr>
              <w:spacing w:after="0" w:line="230"/>
            </w:pPr>
            <w:r>
              <w:rPr>
                <w:rFonts w:ascii="Consolas" w:cs="Consolas" w:eastAsia="Consolas" w:hAnsi="Consolas"/>
                <w:color w:val="1A1A1A"/>
                <w:sz w:val="18"/>
                <w:szCs w:val="18"/>
              </w:rPr>
              <w:t xml:space="preserve">    void    update(T obj)   throws SQLException;</w:t>
            </w:r>
          </w:p>
          <w:p>
            <w:pPr>
              <w:spacing w:after="0" w:line="230"/>
            </w:pPr>
            <w:r>
              <w:rPr>
                <w:rFonts w:ascii="Consolas" w:cs="Consolas" w:eastAsia="Consolas" w:hAnsi="Consolas"/>
                <w:color w:val="1A1A1A"/>
                <w:sz w:val="18"/>
                <w:szCs w:val="18"/>
              </w:rPr>
              <w:t xml:space="preserve">    void    delete(int id)  throws SQLException;</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Gemeinsame Schnittstelle GenericDAO&lt;T&gt;</w:t>
      </w:r>
    </w:p>
    <w:p>
      <w:pPr>
        <w:spacing w:after="120" w:before="0" w:line="360"/>
        <w:jc w:val="both"/>
      </w:pPr>
      <w:r>
        <w:t xml:space="preserve">In den sechs DAO-Klassen kennzeichnet die Annotation @Override jede dieser vier Methoden als Umsetzung des Schnittstellen-Vertrags; der Compiler prüft dadurch, dass die Signaturen exakt zur Schnittstelle passen.</w:t>
      </w:r>
    </w:p>
    <w:p>
      <w:pPr>
        <w:spacing w:after="60" w:before="120" w:line="240"/>
      </w:pPr>
      <w:r>
        <w:rPr>
          <w:i/>
          <w:iCs/>
          <w:sz w:val="20"/>
          <w:szCs w:val="20"/>
        </w:rPr>
        <w:t xml:space="preserve">Tabelle </w:t>
      </w:r>
      <w:fldSimple w:instr="SEQ Tabelle \* ARABIC"/>
      <w:r>
        <w:rPr>
          <w:i/>
          <w:iCs/>
          <w:sz w:val="20"/>
          <w:szCs w:val="20"/>
        </w:rPr>
        <w:t xml:space="preserve">: Zuordnung der Klassen zu den MVC-Schichten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tblHeader/>
        </w:trPr>
        <w:tc>
          <w:tcPr>
            <w:tcW w:type="dxa" w:w="199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Schicht</w:t>
            </w:r>
          </w:p>
        </w:tc>
        <w:tc>
          <w:tcPr>
            <w:tcW w:type="dxa" w:w="707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Kategorie, Lieferant, Stationslager, Bestellung, Bestandsbewegung</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View</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JavaFX-FXML (main.fxml): Hauptfenster mit Registerkarten je Entität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Controller</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MainController: steuert die UI-Logik, delegiert an die DAO-Schicht</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DAO</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MaterialDAO, KategorieDAO, LieferantDAO, StationslagerDAO, …</w:t>
            </w:r>
          </w:p>
        </w:tc>
      </w:tr>
    </w:tbl>
    <w:p>
      <w:pPr>
        <w:spacing w:after="120"/>
      </w:pPr>
    </w:p>
    <w:p>
      <w:pPr>
        <w:pStyle w:val="Heading2"/>
        <w:spacing w:after="120" w:before="200" w:line="360"/>
      </w:pPr>
      <w:r>
        <w:t xml:space="preserve">5.3	Benutzeroberfläche und CRUD</w:t>
      </w:r>
    </w:p>
    <w:p>
      <w:pPr>
        <w:spacing w:after="120" w:before="0" w:line="360"/>
        <w:jc w:val="both"/>
      </w:pPr>
      <w:r>
        <w:t>Das Hauptfenster baut auf einem TabPane auf. Die Bestandsübersicht zeigt je Material und Lager den aus den Bewegungen berechneten Bestand – ermittelt per JOIN über findBestandViews – mit den Spalten Material, Einheit, Bestand, Mindestbestand und Status. Auf der Registerkarte Materialien werden die Stammdaten gepflegt (Name, Einheit, Mindestbestand, Kategorie-ID). Das Anlegen, Bearbeiten und Löschen läuft jeweils über einen Dialog; umgesetzt ist das vollständige CRUD für alle sechs Entitäten.</w:t>
      </w:r>
    </w:p>
    <w:p>
      <w:pPr>
        <w:pStyle w:val="Heading2"/>
        <w:spacing w:after="120" w:before="200" w:line="360"/>
      </w:pPr>
      <w:r>
        <w:t xml:space="preserve">5.4	Such- und Filterfunktion</w:t>
      </w:r>
    </w:p>
    <w:p>
      <w:pPr>
        <w:spacing w:after="120" w:before="0" w:line="360"/>
        <w:jc w:val="both"/>
      </w:pPr>
      <w:r>
        <w:t>Die Bestandsübersicht lässt sich filtern. Suchfeld (Materialname) und Stationsauswahl wirken zusammen, angezeigt wird nur, was beide Bedingungen erfüllt. Ausgelöst wird die Filterung über die Eingabetaste oder die Schaltfläche „Suchen“: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private void anzeigeFiltern() {</w:t>
            </w:r>
          </w:p>
          <w:p>
            <w:pPr>
              <w:spacing w:after="0" w:line="230"/>
            </w:pPr>
            <w:r>
              <w:rPr>
                <w:rFonts w:ascii="Consolas" w:cs="Consolas" w:eastAsia="Consolas" w:hAnsi="Consolas"/>
                <w:color w:val="1A1A1A"/>
                <w:sz w:val="18"/>
                <w:szCs w:val="18"/>
              </w:rPr>
              <w:t xml:space="preserve">  String suchtext = txtSuche.getText() == null</w:t>
            </w:r>
          </w:p>
          <w:p>
            <w:pPr>
              <w:spacing w:after="0" w:line="230"/>
            </w:pPr>
            <w:r>
              <w:rPr>
                <w:rFonts w:ascii="Consolas" w:cs="Consolas" w:eastAsia="Consolas" w:hAnsi="Consolas"/>
                <w:color w:val="1A1A1A"/>
                <w:sz w:val="18"/>
                <w:szCs w:val="18"/>
              </w:rPr>
              <w:t xml:space="preserve">      ? "" : txtSuche.getText().trim().toLowerCase();</w:t>
            </w:r>
          </w:p>
          <w:p>
            <w:pPr>
              <w:spacing w:after="0" w:line="230"/>
            </w:pPr>
            <w:r>
              <w:rPr>
                <w:rFonts w:ascii="Consolas" w:cs="Consolas" w:eastAsia="Consolas" w:hAnsi="Consolas"/>
                <w:color w:val="1A1A1A"/>
                <w:sz w:val="18"/>
                <w:szCs w:val="18"/>
              </w:rPr>
              <w:t xml:space="preserve">  Stationslager lager = cmbLager.getValue();</w:t>
            </w:r>
          </w:p>
          <w:p>
            <w:pPr>
              <w:spacing w:after="0" w:line="230"/>
            </w:pPr>
            <w:r>
              <w:rPr>
                <w:rFonts w:ascii="Consolas" w:cs="Consolas" w:eastAsia="Consolas" w:hAnsi="Consolas"/>
                <w:color w:val="1A1A1A"/>
                <w:sz w:val="18"/>
                <w:szCs w:val="18"/>
              </w:rPr>
              <w:t xml:space="preserve">  ObservableList&lt;BestandView&gt; gefiltert =</w:t>
            </w:r>
          </w:p>
          <w:p>
            <w:pPr>
              <w:spacing w:after="0" w:line="230"/>
            </w:pPr>
            <w:r>
              <w:rPr>
                <w:rFonts w:ascii="Consolas" w:cs="Consolas" w:eastAsia="Consolas" w:hAnsi="Consolas"/>
                <w:color w:val="1A1A1A"/>
                <w:sz w:val="18"/>
                <w:szCs w:val="18"/>
              </w:rPr>
              <w:t xml:space="preserve">      FXCollections.observableArrayList();</w:t>
            </w:r>
          </w:p>
          <w:p>
            <w:pPr>
              <w:spacing w:after="0" w:line="230"/>
            </w:pPr>
            <w:r>
              <w:rPr>
                <w:rFonts w:ascii="Consolas" w:cs="Consolas" w:eastAsia="Consolas" w:hAnsi="Consolas"/>
                <w:color w:val="1A1A1A"/>
                <w:sz w:val="18"/>
                <w:szCs w:val="18"/>
              </w:rPr>
              <w:t xml:space="preserve">  for (BestandView v : alleBestaende) {</w:t>
            </w:r>
          </w:p>
          <w:p>
            <w:pPr>
              <w:spacing w:after="0" w:line="230"/>
            </w:pPr>
            <w:r>
              <w:rPr>
                <w:rFonts w:ascii="Consolas" w:cs="Consolas" w:eastAsia="Consolas" w:hAnsi="Consolas"/>
                <w:color w:val="1A1A1A"/>
                <w:sz w:val="18"/>
                <w:szCs w:val="18"/>
              </w:rPr>
              <w:t xml:space="preserve">    boolean passtName  = suchtext.isEmpty()</w:t>
            </w:r>
          </w:p>
          <w:p>
            <w:pPr>
              <w:spacing w:after="0" w:line="230"/>
            </w:pPr>
            <w:r>
              <w:rPr>
                <w:rFonts w:ascii="Consolas" w:cs="Consolas" w:eastAsia="Consolas" w:hAnsi="Consolas"/>
                <w:color w:val="1A1A1A"/>
                <w:sz w:val="18"/>
                <w:szCs w:val="18"/>
              </w:rPr>
              <w:t xml:space="preserve">        || v.getMaterialName().toLowerCase().contains(suchtext);</w:t>
            </w:r>
          </w:p>
          <w:p>
            <w:pPr>
              <w:spacing w:after="0" w:line="230"/>
            </w:pPr>
            <w:r>
              <w:rPr>
                <w:rFonts w:ascii="Consolas" w:cs="Consolas" w:eastAsia="Consolas" w:hAnsi="Consolas"/>
                <w:color w:val="1A1A1A"/>
                <w:sz w:val="18"/>
                <w:szCs w:val="18"/>
              </w:rPr>
              <w:t xml:space="preserve">    boolean passtLager = lager == null</w:t>
            </w:r>
          </w:p>
          <w:p>
            <w:pPr>
              <w:spacing w:after="0" w:line="230"/>
            </w:pPr>
            <w:r>
              <w:rPr>
                <w:rFonts w:ascii="Consolas" w:cs="Consolas" w:eastAsia="Consolas" w:hAnsi="Consolas"/>
                <w:color w:val="1A1A1A"/>
                <w:sz w:val="18"/>
                <w:szCs w:val="18"/>
              </w:rPr>
              <w:t xml:space="preserve">        || v.getLagerId() == lager.getId();</w:t>
            </w:r>
          </w:p>
          <w:p>
            <w:pPr>
              <w:spacing w:after="0" w:line="230"/>
            </w:pPr>
            <w:r>
              <w:rPr>
                <w:rFonts w:ascii="Consolas" w:cs="Consolas" w:eastAsia="Consolas" w:hAnsi="Consolas"/>
                <w:color w:val="1A1A1A"/>
                <w:sz w:val="18"/>
                <w:szCs w:val="18"/>
              </w:rPr>
              <w:t xml:space="preserve">    if (passtName &amp;&amp; passtLager) gefiltert.add(v);</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bestandListe.setAll(gefiltert);</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Filterung der Bestandsübersicht nach Name und Station</w:t>
      </w:r>
    </w:p>
    <w:p>
      <w:pPr>
        <w:pStyle w:val="Heading2"/>
        <w:spacing w:after="120" w:before="200" w:line="360"/>
      </w:pPr>
      <w:r>
        <w:t xml:space="preserve">5.5	Mindestbestand-Warnung und Lagerbuchungen</w:t>
      </w:r>
    </w:p>
    <w:p>
      <w:pPr>
        <w:spacing w:after="120" w:before="0" w:line="360"/>
        <w:jc w:val="both"/>
      </w:pPr>
      <w:r>
        <w:t xml:space="preserve">Liegt der Bestand auf oder unter dem Mindestbestand, färbt eine RowFactory die Zeile rot: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tabBestand.setRowFactory(tv -&gt; new TableRow&lt;BestandView&gt;() {</w:t>
            </w:r>
          </w:p>
          <w:p>
            <w:pPr>
              <w:spacing w:after="0" w:line="230"/>
            </w:pPr>
            <w:r>
              <w:rPr>
                <w:rFonts w:ascii="Consolas" w:cs="Consolas" w:eastAsia="Consolas" w:hAnsi="Consolas"/>
                <w:color w:val="1A1A1A"/>
                <w:sz w:val="18"/>
                <w:szCs w:val="18"/>
              </w:rPr>
              <w:t xml:space="preserve">  @Override protected void updateItem(BestandView item,</w:t>
            </w:r>
          </w:p>
          <w:p>
            <w:pPr>
              <w:spacing w:after="0" w:line="230"/>
            </w:pPr>
            <w:r>
              <w:rPr>
                <w:rFonts w:ascii="Consolas" w:cs="Consolas" w:eastAsia="Consolas" w:hAnsi="Consolas"/>
                <w:color w:val="1A1A1A"/>
                <w:sz w:val="18"/>
                <w:szCs w:val="18"/>
              </w:rPr>
              <w:t xml:space="preserve">                                       boolean empty) {</w:t>
            </w:r>
          </w:p>
          <w:p>
            <w:pPr>
              <w:spacing w:after="0" w:line="230"/>
            </w:pPr>
            <w:r>
              <w:rPr>
                <w:rFonts w:ascii="Consolas" w:cs="Consolas" w:eastAsia="Consolas" w:hAnsi="Consolas"/>
                <w:color w:val="1A1A1A"/>
                <w:sz w:val="18"/>
                <w:szCs w:val="18"/>
              </w:rPr>
              <w:t xml:space="preserve">    super.updateItem(item, empty);</w:t>
            </w:r>
          </w:p>
          <w:p>
            <w:pPr>
              <w:spacing w:after="0" w:line="230"/>
            </w:pPr>
            <w:r>
              <w:rPr>
                <w:rFonts w:ascii="Consolas" w:cs="Consolas" w:eastAsia="Consolas" w:hAnsi="Consolas"/>
                <w:color w:val="1A1A1A"/>
                <w:sz w:val="18"/>
                <w:szCs w:val="18"/>
              </w:rPr>
              <w:t xml:space="preserve">    if (empty || item == null)      setStyle("");</w:t>
            </w:r>
          </w:p>
          <w:p>
            <w:pPr>
              <w:spacing w:after="0" w:line="230"/>
            </w:pPr>
            <w:r>
              <w:rPr>
                <w:rFonts w:ascii="Consolas" w:cs="Consolas" w:eastAsia="Consolas" w:hAnsi="Consolas"/>
                <w:color w:val="1A1A1A"/>
                <w:sz w:val="18"/>
                <w:szCs w:val="18"/>
              </w:rPr>
              <w:t xml:space="preserve">    else if (item.isWarnung())</w:t>
            </w:r>
          </w:p>
          <w:p>
            <w:pPr>
              <w:spacing w:after="0" w:line="230"/>
            </w:pPr>
            <w:r>
              <w:rPr>
                <w:rFonts w:ascii="Consolas" w:cs="Consolas" w:eastAsia="Consolas" w:hAnsi="Consolas"/>
                <w:color w:val="1A1A1A"/>
                <w:sz w:val="18"/>
                <w:szCs w:val="18"/>
              </w:rPr>
              <w:t xml:space="preserve">         setStyle("-fx-background-color: #FADBD8;");</w:t>
            </w:r>
          </w:p>
          <w:p>
            <w:pPr>
              <w:spacing w:after="0" w:line="230"/>
            </w:pPr>
            <w:r>
              <w:rPr>
                <w:rFonts w:ascii="Consolas" w:cs="Consolas" w:eastAsia="Consolas" w:hAnsi="Consolas"/>
                <w:color w:val="1A1A1A"/>
                <w:sz w:val="18"/>
                <w:szCs w:val="18"/>
              </w:rPr>
              <w:t xml:space="preserve">    else setStyle("");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 isWarnung(): bestand &lt;= mindestbestand</w:t>
            </w:r>
          </w:p>
        </w:tc>
      </w:tr>
    </w:tbl>
    <w:p>
      <w:pPr>
        <w:spacing w:after="140" w:before="60" w:line="240"/>
        <w:jc w:val="center"/>
      </w:pPr>
      <w:r>
        <w:rPr>
          <w:i/>
          <w:iCs/>
          <w:sz w:val="20"/>
          <w:szCs w:val="20"/>
        </w:rPr>
        <w:t xml:space="preserve">Listing </w:t>
      </w:r>
      <w:fldSimple w:instr="SEQ Listing \* ARABIC"/>
      <w:r>
        <w:rPr>
          <w:i/>
          <w:iCs/>
          <w:sz w:val="20"/>
          <w:szCs w:val="20"/>
        </w:rPr>
        <w:t xml:space="preserve">: Mindestbestand-Warnung über eine RowFactory</w:t>
      </w:r>
    </w:p>
    <w:p>
      <w:pPr>
        <w:spacing w:after="120" w:before="0" w:line="360"/>
        <w:jc w:val="both"/>
      </w:pPr>
      <w:r>
        <w:t>Bestandsänderungen laufen ausschließlich über Buchungen. Die Schaltfläche „Warenentnahme“ bucht einen AUSGANG; eine „Umlagerung“ zwischen zwei Lagern erzeugt zwei Buchungen, einen AUSGANG im Quell- und einen EINGANG im Ziellager. Auf der Registerkarte Bestandsbewegungen lassen sich Ein- und Ausgänge außerdem von Hand anlegen, bearbeiten und löschen. Der Status einer Bestellung – offen, geliefert oder storniert – beschreibt nur den Bestellvorgang selbst; den zugehörigen Wareneingang bucht der Nutzer anschließend als EINGANG.</w:t>
      </w:r>
    </w:p>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4aa8c537344eea205cf1165aab2ea011d9a6f4.png"/><Relationship Id="rId9" Type="http://schemas.openxmlformats.org/officeDocument/2006/relationships/image" Target="media/6288cb956bebc5e82b97c9b647b8569454f9a377.png"/><Relationship Id="rId10" Type="http://schemas.openxmlformats.org/officeDocument/2006/relationships/image" Target="media/a8c38d21a939e2a27ba971ff22ceb5c64737b0e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2026-06-08T19:11:32.812Z</dcterms:created>
  <dcterms:modified xsi:type="dcterms:W3CDTF">2026-06-08T19:11:32.812Z</dcterms:modified>
</cp:coreProperties>
</file>

<file path=docProps/custom.xml><?xml version="1.0" encoding="utf-8"?>
<Properties xmlns="http://schemas.openxmlformats.org/officeDocument/2006/custom-properties" xmlns:vt="http://schemas.openxmlformats.org/officeDocument/2006/docPropsVTypes"/>
</file>