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IntelliJ IDEA — Spickzettel</w:t>
      </w:r>
    </w:p>
    <w:p>
      <w:pPr>
        <w:pBdr>
          <w:bottom w:val="single" w:color="2E6CB0" w:sz="10" w:space="2"/>
        </w:pBdr>
        <w:spacing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DoIT · Lagerverwaltung (Java + JavaFX + MySQL, Maven, MVC/DAO)</w:t>
      </w:r>
    </w:p>
    <w:p>
      <w:pPr>
        <w:pBdr>
          <w:bottom w:val="single" w:color="2E6CB0" w:sz="8" w:space="2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 · Symbole (Projektbaum · Struktur-Fenster · Code-Vervollständigung)</w:t>
      </w:r>
    </w:p>
    <w:p>
      <w:pPr>
        <w:spacing w:after="6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Jedes Mitglied wird durch einen farbigen Kreis mit Buchstaben dargestellt. Tipp: Maus über das Icon halten → Tooltip erklärt es immer.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66"/>
        <w:gridCol w:w="57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Icon</w:t>
            </w:r>
          </w:p>
        </w:tc>
        <w:tc>
          <w:tcPr>
            <w:tcW w:type="dxa" w:w="3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Symbol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Bedeutung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class.png" descr="icons/class.png" title="icons/cla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grüner Kreis „C“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Klasse (class)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class.png" descr="icons/class.png" title="icons/cla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grünes „C“, kursiv / mit „a“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abstrakte Klasse (abstract class)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interface.png" descr="icons/interface.png" title="icons/interfa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grün/teal „I“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Interface (Schnittstelle)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enum.png" descr="icons/enum.png" title="icons/enu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Kreis „E“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(Aufzählung, z. B. BewegungsTyp)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method.png" descr="icons/method.png" title="icons/metho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violetter Kreis „m“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Methode (method)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method.png" descr="icons/method.png" title="icons/metho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violett „m“ + kleines „a“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abstrakte Methode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field.png" descr="icons/field.png" title="icons/fiel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blauer Kreis „f“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Feld / Attribut (field)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variable.png" descr="icons/variable.png" title="icons/variab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grau „v“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lokale Variable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param.png" descr="icons/param.png" title="icons/par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ocker „p“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Parameter / Property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6CB0"/>
          <w:sz w:val="21"/>
          <w:szCs w:val="21"/>
        </w:rPr>
        <w:t xml:space="preserve">Kleine Markierungen am Kreis (Zugriffs-Badges, wie in IntelliJ)</w:t>
      </w:r>
    </w:p>
    <w:p>
      <w:pPr>
        <w:spacing w:after="6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Das kleine Schloss in der unteren Ecke des Symbols zeigt die Sichtbarkeit; ein Quadrat unten links steht für „static“: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96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Icon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Modifizierer</w:t>
            </w:r>
          </w:p>
        </w:tc>
        <w:tc>
          <w:tcPr>
            <w:tcW w:type="dxa" w:w="59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Bedeutung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public.png" descr="icons/public.png" title="icons/publi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public</w:t>
            </w:r>
          </w:p>
        </w:tc>
        <w:tc>
          <w:tcPr>
            <w:tcW w:type="dxa" w:w="59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offenes/kein Schloss — überall sichtbar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private.png" descr="icons/private.png" title="icons/priv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private</w:t>
            </w:r>
          </w:p>
        </w:tc>
        <w:tc>
          <w:tcPr>
            <w:tcW w:type="dxa" w:w="59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rotes Schloss — nur in eigener Klasse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protected.png" descr="icons/protected.png" title="icons/protec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protected</w:t>
            </w:r>
          </w:p>
        </w:tc>
        <w:tc>
          <w:tcPr>
            <w:tcW w:type="dxa" w:w="59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gelbes Schloss — Klasse + Unterklassen + Paket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package.png" descr="icons/package.png" title="icons/pack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package-private</w:t>
            </w:r>
          </w:p>
        </w:tc>
        <w:tc>
          <w:tcPr>
            <w:tcW w:type="dxa" w:w="59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kein Schloss-Zusatz — nur im selben Paket (kein Schlüsselwort)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static.png" descr="icons/static.png" title="icons/stati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static</w:t>
            </w:r>
          </w:p>
        </w:tc>
        <w:tc>
          <w:tcPr>
            <w:tcW w:type="dxa" w:w="59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Quadrat unten links — gehört zur Klasse, nicht zum Objekt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icons/final.png" descr="icons/final.png" title="icons/fin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final / read-only</w:t>
            </w:r>
          </w:p>
        </w:tc>
        <w:tc>
          <w:tcPr>
            <w:tcW w:type="dxa" w:w="59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graues Schloss — nicht änderbar (z. B. aus Bibliotheks-JAR)</w:t>
            </w:r>
          </w:p>
        </w:tc>
      </w:tr>
    </w:tbl>
    <w:p>
      <w:pPr>
        <w:pBdr>
          <w:bottom w:val="single" w:color="2E6CB0" w:sz="8" w:space="2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 · Farben — was sie bedeuten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6CB0"/>
          <w:sz w:val="21"/>
          <w:szCs w:val="21"/>
        </w:rPr>
        <w:t xml:space="preserve">Code-Einfärbung (Standard-Schema, hell)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Farbe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 im Code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78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orange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Schlüsselwörter: class, public, void, if, return …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C9D3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grün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Strings ("Text") und Kommentare (// …, /* … */).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CB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blau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Zahlen sowie Felder/Attribute (oft hervorgehoben).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E44A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violett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Methodenaufrufe / Felder, je nach Schema.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7777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kursiv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Kursiv = static. Unterstrichen = neu zugewiesen / besonders markiert.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6CB0"/>
          <w:sz w:val="21"/>
          <w:szCs w:val="21"/>
        </w:rPr>
        <w:t xml:space="preserve">Dateinamen-Farben im Projektbaum (Git/Versionierung)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Farbe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Bedeutung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C9D3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grün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Neue Datei, zu Git hinzugefügt, noch nicht committet.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CB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blau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Geänderte Datei seit letztem Commit.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45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rot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Nicht versioniert / Git kennt die Datei nicht.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AA0A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grau</w:t>
            </w:r>
          </w:p>
        </w:tc>
        <w:tc>
          <w:tcPr>
            <w:tcW w:type="dxa" w:w="8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Ignoriert (.gitignore) oder ausgeschlossen (excluded).</w:t>
            </w:r>
          </w:p>
        </w:tc>
      </w:tr>
    </w:tbl>
    <w:p>
      <w:r>
        <w:br w:type="page"/>
      </w:r>
    </w:p>
    <w:p>
      <w:pPr>
        <w:pBdr>
          <w:bottom w:val="single" w:color="2E6CB0" w:sz="8" w:space="2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 · Wichtigste Shortcuts (Windows)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33"/>
        <w:gridCol w:w="2600"/>
        <w:gridCol w:w="2633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Taste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Funktion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Taste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Funktion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Shift Shift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Überall suchen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N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Klasse öffnen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Shift + N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Datei suchen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B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Zur Definition springen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Alt + Enter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Schnellkorrektur / Quick-Fix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Leertaste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Code-Vervollständigung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/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Zeile auskommentieren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Alt + L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Code formatieren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Alt + O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Imports aufräumen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Shift + F6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Umbenennen (Refactor)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D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Zeile duplizieren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Y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Zeile löschen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F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 Datei suchen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R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Suchen &amp; Ersetzen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Shift + F10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Starten (Run)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Shift + F9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Debuggen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Strg + F9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Bauen (Build)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Alt + 1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Projekt-Fenster ein/aus</w:t>
            </w:r>
          </w:p>
        </w:tc>
      </w:tr>
    </w:tbl>
    <w:p>
      <w:pPr>
        <w:pBdr>
          <w:bottom w:val="single" w:color="2E6CB0" w:sz="8" w:space="2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 · Icons am linken Rand (Gutter) &amp; Lauf-Leiste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566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Icon</w:t>
            </w:r>
          </w:p>
        </w:tc>
        <w:tc>
          <w:tcPr>
            <w:tcW w:type="dxa" w:w="7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Bedeutung / Aktion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C9D3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Play ▶</w:t>
            </w:r>
          </w:p>
        </w:tc>
        <w:tc>
          <w:tcPr>
            <w:tcW w:type="dxa" w:w="7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Grünes Dreieck = Klasse/Test starten (Run). Klick → Run/Debug-Menü.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Käfer (Bug)</w:t>
            </w:r>
          </w:p>
        </w:tc>
        <w:tc>
          <w:tcPr>
            <w:tcW w:type="dxa" w:w="7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Debuggen — mit Haltepunkten Schritt für Schritt.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145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Punkt</w:t>
            </w:r>
          </w:p>
        </w:tc>
        <w:tc>
          <w:tcPr>
            <w:tcW w:type="dxa" w:w="7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Roter Punkt im Rand = Breakpoint (Haltepunkt). Klick zum Setzen/Entfernen.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Pfeil hoch/runter</w:t>
            </w:r>
          </w:p>
        </w:tc>
        <w:tc>
          <w:tcPr>
            <w:tcW w:type="dxa" w:w="7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Überschreibt (override) eine Methode der Oberklasse / wird überschrieben. Klick springt hin.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Glühbirne</w:t>
            </w:r>
          </w:p>
        </w:tc>
        <w:tc>
          <w:tcPr>
            <w:tcW w:type="dxa" w:w="7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IntelliJ schlägt eine Aktion/Korrektur vor (= Alt+Enter).</w:t>
            </w:r>
          </w:p>
        </w:tc>
      </w:tr>
    </w:tbl>
    <w:p>
      <w:pPr>
        <w:pBdr>
          <w:bottom w:val="single" w:color="2E6CB0" w:sz="8" w:space="2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 · DoIT — Projekt-Ablauf (Maven · JavaFX · MySQL)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6CB0"/>
          <w:sz w:val="21"/>
          <w:szCs w:val="21"/>
        </w:rPr>
        <w:t xml:space="preserve">Programm starten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Weg</w:t>
            </w:r>
          </w:p>
        </w:tc>
        <w:tc>
          <w:tcPr>
            <w:tcW w:type="dxa" w:w="7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 geht's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Maven-Fenster</w:t>
            </w:r>
          </w:p>
        </w:tc>
        <w:tc>
          <w:tcPr>
            <w:tcW w:type="dxa" w:w="7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Rechts „Maven“ öffnen → Plugins → javafx → Doppelklick auf javafx:run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Terminal</w:t>
            </w:r>
          </w:p>
        </w:tc>
        <w:tc>
          <w:tcPr>
            <w:tcW w:type="dxa" w:w="7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mvn javafx:run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Startklassen</w:t>
            </w:r>
          </w:p>
        </w:tc>
        <w:tc>
          <w:tcPr>
            <w:tcW w:type="dxa" w:w="7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Start über de.doit.Launcher (JavaFX). Fat-JAR/Main-Klasse: de.doit.Main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Voraussetzung</w:t>
            </w:r>
          </w:p>
        </w:tc>
        <w:tc>
          <w:tcPr>
            <w:tcW w:type="dxa" w:w="7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MySQL muss laufen (DBConnection verbindet sich beim Start).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2E6CB0"/>
          <w:sz w:val="21"/>
          <w:szCs w:val="21"/>
        </w:rPr>
        <w:t xml:space="preserve">Maven-Lifecycle (im Maven-Fenster unter „Lifecycle“)</w:t>
      </w:r>
    </w:p>
    <w:p>
      <w:pPr>
        <w:spacing w:after="60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clean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aufräumen  · 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compile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übersetzen  · 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package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JAR bauen.  Nach Änderung an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pom.xml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: Maven neu laden (Reload).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6CB0"/>
          <w:sz w:val="21"/>
          <w:szCs w:val="21"/>
        </w:rPr>
        <w:t xml:space="preserve">Projektstruktur src/main/java/de/doit/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Paket / Datei</w:t>
            </w:r>
          </w:p>
        </w:tc>
        <w:tc>
          <w:tcPr>
            <w:tcW w:type="dxa" w:w="7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Rolle (DAO-Muster)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db/DBConnection</w:t>
            </w:r>
          </w:p>
        </w:tc>
        <w:tc>
          <w:tcPr>
            <w:tcW w:type="dxa" w:w="7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Singleton — eine MySQL-Verbindung für die ganze App.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model/</w:t>
            </w:r>
          </w:p>
        </w:tc>
        <w:tc>
          <w:tcPr>
            <w:tcW w:type="dxa" w:w="7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POJOs (Material, Kategorie, Lieferant …) — spiegeln je eine Tabelle.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dao/</w:t>
            </w:r>
          </w:p>
        </w:tc>
        <w:tc>
          <w:tcPr>
            <w:tcW w:type="dxa" w:w="7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CRUD je Tabelle: create / findById / findAll / update / delete (PreparedStatement).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controller/</w:t>
            </w:r>
          </w:p>
        </w:tc>
        <w:tc>
          <w:tcPr>
            <w:tcW w:type="dxa" w:w="7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MainController — verbindet FXML-Oberfläche mit den DAOs.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resources/fxml/</w:t>
            </w:r>
          </w:p>
        </w:tc>
        <w:tc>
          <w:tcPr>
            <w:tcW w:type="dxa" w:w="7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main.fxml — Aufbau der JavaFX-Oberfläche.</w:t>
            </w:r>
          </w:p>
        </w:tc>
      </w:tr>
    </w:tbl>
    <w:p>
      <w:r>
        <w:br w:type="page"/>
      </w:r>
    </w:p>
    <w:p>
      <w:pPr>
        <w:pBdr>
          <w:bottom w:val="single" w:color="2E6CB0" w:sz="8" w:space="2"/>
        </w:pBdr>
        <w:spacing w:after="6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 · Wie die Java-Dateien zusammenarbeiten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Pfeile = Aufruf/Steuerung. Gestrichelt = Datenfluss zur Datenbank (SQL hin, Daten zurück).</w:t>
      </w:r>
    </w:p>
    <w:p>
      <w:pPr>
        <w:spacing w:after="60" w:before="0"/>
        <w:jc w:val="center"/>
      </w:pPr>
      <w:r>
        <w:drawing>
          <wp:inline distT="0" distB="0" distL="0" distR="0">
            <wp:extent cx="6572250" cy="4791075"/>
            <wp:effectExtent t="0" r="0" b="0" l="0"/>
            <wp:docPr id="1" name="Architektur" descr="DoIT Architektur" title="Architek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Kurz: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Launcher startet Main → Main öffnet das JavaFX-Fenster (main.fxml + MainController) → der Controller ruft bei Klicks die DAOs auf → jede DAO holt sich über DBConnection (Singleton) die eine MySQL-Verbindung → liest/schreibt per SQL in der Datenbank und füllt damit die model-Objekte (POJOs), die zurück im Fenster angezeigt werden.</w:t>
      </w:r>
    </w:p>
    <w:p>
      <w:pPr>
        <w:spacing w:after="20" w:before="120" w:line="24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Hinweis: Symbol-/Farbdetails können je IntelliJ-Version &amp; Farbschema leicht abweichen. Im Zweifel: Maus über Icon halten (Tooltip) oder Datei ▸ Einstellungen ▸ Editor ▸ Color Scheme.</w:t>
      </w:r>
    </w:p>
    <w:sectPr>
      <w:pgSz w:w="11906" w:h="16838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c8f14a79cc3410a209238d91f5b1eaab800ef7.png"/><Relationship Id="rId8" Type="http://schemas.openxmlformats.org/officeDocument/2006/relationships/image" Target="media/232acbfd6141f7f4ae47b8c2da989662cf0d25ff.png"/><Relationship Id="rId9" Type="http://schemas.openxmlformats.org/officeDocument/2006/relationships/image" Target="media/9dce62be9728eb4c7a7df22b039be33cf7fac1bb.png"/><Relationship Id="rId10" Type="http://schemas.openxmlformats.org/officeDocument/2006/relationships/image" Target="media/7b4e69c4a7ec4918fe3818005223ec6262702315.png"/><Relationship Id="rId11" Type="http://schemas.openxmlformats.org/officeDocument/2006/relationships/image" Target="media/d4884ea262b5ebe6ad5c90e9609e19fc6fffbb57.png"/><Relationship Id="rId12" Type="http://schemas.openxmlformats.org/officeDocument/2006/relationships/image" Target="media/3b40dc9122b981acab9fe18bc2d4f471cc8df8a8.png"/><Relationship Id="rId13" Type="http://schemas.openxmlformats.org/officeDocument/2006/relationships/image" Target="media/58d0a1af9b5dc7bc2696d00a2c5fe5edf3c98640.png"/><Relationship Id="rId14" Type="http://schemas.openxmlformats.org/officeDocument/2006/relationships/image" Target="media/1d5caabbd9623734693c21f21059c2fe7b8f55ea.png"/><Relationship Id="rId15" Type="http://schemas.openxmlformats.org/officeDocument/2006/relationships/image" Target="media/51cfa5cd0f4bee4db8fb84f47ebd12dc3070ff06.png"/><Relationship Id="rId16" Type="http://schemas.openxmlformats.org/officeDocument/2006/relationships/image" Target="media/5484ce8f23e5100809a1d5380bb0378960067889.png"/><Relationship Id="rId17" Type="http://schemas.openxmlformats.org/officeDocument/2006/relationships/image" Target="media/e892e1a428e1c9905835c81f0a64484267406b25.png"/><Relationship Id="rId18" Type="http://schemas.openxmlformats.org/officeDocument/2006/relationships/image" Target="media/7b0a1ff94162261f4aa0becb9a05a5cb7ebf5bac.png"/><Relationship Id="rId19" Type="http://schemas.openxmlformats.org/officeDocument/2006/relationships/image" Target="media/ac180f30bf64b6a3afdfa2cf37c83cdf5c36b18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2026-06-10T06:54:43.589Z</dcterms:created>
  <dcterms:modified xsi:type="dcterms:W3CDTF">2026-06-10T06:54:43.593Z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