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40" w:line="360"/>
        <w:jc w:val="center"/>
      </w:pPr>
      <w:r>
        <w:rPr>
          <w:b w:val="false"/>
          <w:bCs w:val="false"/>
          <w:color w:val="555555"/>
          <w:sz w:val="22"/>
          <w:szCs w:val="22"/>
        </w:rPr>
        <w:t xml:space="preserve">SRH Berufliche Rehabilitation GmbH</w:t>
      </w:r>
    </w:p>
    <w:p>
      <w:pPr>
        <w:spacing w:after="320" w:line="360"/>
        <w:jc w:val="center"/>
      </w:pPr>
      <w:r>
        <w:rPr>
          <w:b w:val="false"/>
          <w:bCs w:val="false"/>
          <w:color w:val="555555"/>
          <w:sz w:val="22"/>
          <w:szCs w:val="22"/>
        </w:rPr>
        <w:t>DOIT-Projektphase 2026  ·  Wirtschaftsinformatik</w:t>
      </w:r>
    </w:p>
    <w:p>
      <w:pPr>
        <w:spacing w:after="200" w:line="360"/>
        <w:jc w:val="center"/>
      </w:pPr>
      <w:r>
        <w:rPr>
          <w:b/>
          <w:bCs/>
          <w:color w:val="2E5A88"/>
          <w:sz w:val="44"/>
          <w:szCs w:val="44"/>
        </w:rPr>
        <w:t xml:space="preserve">Projektdokumentation</w:t>
      </w:r>
    </w:p>
    <w:p>
      <w:pPr>
        <w:spacing w:after="20" w:line="360"/>
        <w:jc w:val="center"/>
      </w:pPr>
      <w:r>
        <w:rPr>
          <w:b/>
          <w:bCs/>
          <w:color w:val="222222"/>
          <w:sz w:val="28"/>
          <w:szCs w:val="28"/>
        </w:rPr>
        <w:t xml:space="preserve">Entwicklung einer Software zur Lagerverwaltung von</w:t>
      </w:r>
    </w:p>
    <w:p>
      <w:pPr>
        <w:spacing w:after="200" w:line="360"/>
        <w:jc w:val="center"/>
      </w:pPr>
      <w:r>
        <w:rPr>
          <w:b/>
          <w:bCs/>
          <w:color w:val="222222"/>
          <w:sz w:val="28"/>
          <w:szCs w:val="28"/>
        </w:rPr>
        <w:t xml:space="preserve">medizinischem Verbrauchsmaterial in einem Krankenhaus</w:t>
      </w:r>
    </w:p>
    <w:p>
      <w:pPr>
        <w:spacing w:after="360" w:line="360"/>
        <w:jc w:val="center"/>
      </w:pPr>
      <w:r>
        <w:rPr>
          <w:b w:val="false"/>
          <w:bCs w:val="false"/>
          <w:color w:val="555555"/>
          <w:sz w:val="24"/>
          <w:szCs w:val="24"/>
        </w:rPr>
        <w:t xml:space="preserve">JavaFX · MySQL · MVC- und DAO-Architektur</w:t>
      </w:r>
    </w:p>
    <w:p>
      <w:pPr>
        <w:spacing w:after="160"/>
      </w:pP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600"/>
      </w:tblGrid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Verfasser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Sascha Schulz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Gruppe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2551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Ausbildungsberuf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Wirtschaftsinformatiker (WI)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Ausbildungsstätte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SRH Berufliche Rehabilitation GmbH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Betreuerin / Ausbilderin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Frau Cramer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Projektzeitraum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04.05.2026 – 26.06.2026 (6 Wochen, 180 h geplant)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Technologien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Java 17, JavaFX 21, MySQL 8, JDBC, MVC-Pattern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Abgabedatum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17.07.2026 (Moodle-Upload als PDF)</w:t>
            </w:r>
          </w:p>
        </w:tc>
      </w:tr>
    </w:tbl>
    <w:p>
      <w:r>
        <w:br w:type="page"/>
      </w:r>
    </w:p>
    <w:p>
      <w:pPr>
        <w:pStyle w:val="Heading1"/>
        <w:spacing w:after="120" w:before="280" w:line="360"/>
      </w:pPr>
      <w:r>
        <w:t xml:space="preserve">Inhaltsverzeichnis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1  Einleitung</w:t>
        <w:tab/>
        <w:t xml:space="preserve">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1.1  Projektbeschreibung</w:t>
        <w:tab/>
        <w:t xml:space="preserve">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1.2  Projektziel</w:t>
        <w:tab/>
        <w:t xml:space="preserve">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1.3  Projektumfeld</w:t>
        <w:tab/>
        <w:t xml:space="preserve">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1.4  Projektbegründung</w:t>
        <w:tab/>
        <w:t xml:space="preserve">6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2  Projektplanung</w:t>
        <w:tab/>
        <w:t xml:space="preserve">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2.1  Projektphasen</w:t>
        <w:tab/>
        <w:t xml:space="preserve">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2.2  Ressourcenplanung</w:t>
        <w:tab/>
        <w:t xml:space="preserve">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2.3  Entwicklungsprozess</w:t>
        <w:tab/>
        <w:t xml:space="preserve">7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3  Analysephase</w:t>
        <w:tab/>
        <w:t xml:space="preserve">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3.1  Ist-Analyse</w:t>
        <w:tab/>
        <w:t xml:space="preserve">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3.2  Anwendungsfälle</w:t>
        <w:tab/>
        <w:t xml:space="preserve">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3.3  Lastenheft</w:t>
        <w:tab/>
        <w:t xml:space="preserve">8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4  Entwurfsphase</w:t>
        <w:tab/>
        <w:t xml:space="preserve">8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4.1  Datenbankentwurf</w:t>
        <w:tab/>
        <w:t xml:space="preserve">8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4.2  Architekturentwurf (MVC + DAO)</w:t>
        <w:tab/>
        <w:t xml:space="preserve">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4.3  Entwurf der Benutzeroberfläche</w:t>
        <w:tab/>
        <w:t xml:space="preserve">10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4.4  Pflichtenheft</w:t>
        <w:tab/>
        <w:t xml:space="preserve">11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5  Implementierungsphase</w:t>
        <w:tab/>
        <w:t xml:space="preserve">11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5.1  Datenbank und JDBC-Verbindung</w:t>
        <w:tab/>
        <w:t xml:space="preserve">11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5.2  DAO-Schicht und Model-Klassen</w:t>
        <w:tab/>
        <w:t xml:space="preserve">12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5.3  Benutzeroberfläche und CRUD</w:t>
        <w:tab/>
        <w:t xml:space="preserve">13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5.4  Such- und Filterfunktion</w:t>
        <w:tab/>
        <w:t xml:space="preserve">13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5.5  Mindestbestand-Warnung und Lagerbuchungen</w:t>
        <w:tab/>
        <w:t xml:space="preserve">14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6  Abnahme- und Testphase</w:t>
        <w:tab/>
        <w:t xml:space="preserve">14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6.1  Testfälle und Testergebnisse</w:t>
        <w:tab/>
        <w:t xml:space="preserve">14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6.2  Soll-Ist-Vergleich</w:t>
        <w:tab/>
        <w:t xml:space="preserve">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6.3  Abnahme und Übergabe</w:t>
        <w:tab/>
        <w:t xml:space="preserve">15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7  Dokumentation</w:t>
        <w:tab/>
        <w:t xml:space="preserve">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7.1  Benutzerhandbuch</w:t>
        <w:tab/>
        <w:t xml:space="preserve">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7.2  Entwicklerdokumentation</w:t>
        <w:tab/>
        <w:t xml:space="preserve">16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8  Fazit</w:t>
        <w:tab/>
        <w:t xml:space="preserve">16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8.1  Soll-Ist-Vergleich der Projektziele</w:t>
        <w:tab/>
        <w:t xml:space="preserve">16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8.2  Lessons Learned</w:t>
        <w:tab/>
        <w:t xml:space="preserve">16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8.3  Ausblick</w:t>
        <w:tab/>
        <w:t xml:space="preserve">17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Abgabeerklärung</w:t>
        <w:tab/>
        <w:t xml:space="preserve">18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Quellenverzeichnis</w:t>
        <w:tab/>
        <w:t xml:space="preserve">19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Anhang</w:t>
        <w:tab/>
        <w:t xml:space="preserve">20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Anhang A – ER-Diagramm</w:t>
        <w:tab/>
        <w:t xml:space="preserve">20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Anhang B – SQL-Datenbankskript</w:t>
        <w:tab/>
        <w:t xml:space="preserve">20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Anhang C – Benutzerhandbuch</w:t>
        <w:tab/>
        <w:t xml:space="preserve">22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D – Wochenplan</w:t>
        <w:tab/>
        <w:t>24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E – Projektantrag</w:t>
        <w:tab/>
        <w:t>24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F – Glossar</w:t>
        <w:tab/>
        <w:t>24</w:t>
      </w:r>
    </w:p>
    <w:p>
      <w:r>
        <w:br w:type="page"/>
      </w:r>
    </w:p>
    <w:p>
      <w:pPr>
        <w:pStyle w:val="Heading1"/>
        <w:spacing w:after="120" w:before="280" w:line="360"/>
      </w:pPr>
      <w:r>
        <w:t xml:space="preserve">Abbildungsverzeichnis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1: Use-Case-Diagramm der Hauptfunktionen</w:t>
        <w:tab/>
        <w:t xml:space="preserve">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2: ER-Diagramm der Datenbank (6 Tabellen, 3NF)</w:t>
        <w:tab/>
        <w:t xml:space="preserve">9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3: Schichtenarchitektur (MVC mit DAO-Schicht)</w:t>
        <w:tab/>
        <w:t xml:space="preserve">10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4: Entwurf des Hauptfensters (Bestandsübersicht)</w:t>
        <w:tab/>
        <w:t xml:space="preserve">11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5: ER-Diagramm der Datenbank (Anhang A)</w:t>
        <w:tab/>
        <w:t xml:space="preserve">20</w:t>
      </w:r>
    </w:p>
    <w:p>
      <w:pPr>
        <w:spacing w:after="240"/>
      </w:pPr>
    </w:p>
    <w:p>
      <w:pPr>
        <w:pStyle w:val="Heading1"/>
        <w:spacing w:after="120" w:before="280" w:line="360"/>
      </w:pPr>
      <w:r>
        <w:t xml:space="preserve">Tabellenverzeichnis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1: Beteiligte Rollen und Auftragsschnittstellen</w:t>
        <w:tab/>
        <w:t xml:space="preserve">5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2: Projektphasen und Stundenverteilung</w:t>
        <w:tab/>
        <w:t xml:space="preserve">6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3: Risiken und Gegenmaßnahmen</w:t>
        <w:tab/>
        <w:t xml:space="preserve">6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4: Pflichtanforderungen laut Ausbildungsrichtlinie</w:t>
        <w:tab/>
        <w:t xml:space="preserve">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5: Krankenhausspezifische Zusatzanforderungen</w:t>
        <w:tab/>
        <w:t xml:space="preserve">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6: Datenbanktabellen im Überblick</w:t>
        <w:tab/>
        <w:t xml:space="preserve">9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7: Zuordnung der Klassen zu den MVC-Schichten</w:t>
        <w:tab/>
        <w:t xml:space="preserve">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8: Definierte Testfälle (Auszug)</w:t>
        <w:tab/>
        <w:t xml:space="preserve">14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9: Soll-Ist-Vergleich der Anforderungen</w:t>
        <w:tab/>
        <w:t xml:space="preserve">15</w:t>
      </w:r>
    </w:p>
    <w:p>
      <w:pPr>
        <w:spacing w:after="240"/>
      </w:pPr>
    </w:p>
    <w:p>
      <w:pPr>
        <w:pStyle w:val="Heading1"/>
        <w:spacing w:after="120" w:before="280" w:line="360"/>
      </w:pPr>
      <w:r>
        <w:t xml:space="preserve">Quellcodeverzeichnis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1: CREATE-Statement der Tabelle materialien</w:t>
        <w:tab/>
        <w:t xml:space="preserve">11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2: Singleton-Datenbankverbindung (DBConnection)</w:t>
        <w:tab/>
        <w:t xml:space="preserve">12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3: CRUD-Beispiel: create() in MaterialDAO</w:t>
        <w:tab/>
        <w:t xml:space="preserve">12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4: Gemeinsame Schnittstelle GenericDAO&lt;T&gt;</w:t>
        <w:tab/>
        <w:t xml:space="preserve">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5: Filterung der Bestandsübersicht nach Name und Station</w:t>
        <w:tab/>
        <w:t xml:space="preserve">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6: Mindestbestand-Warnung über eine RowFactory</w:t>
        <w:tab/>
        <w:t xml:space="preserve">14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7: Datenbankschema – CREATE-Statements aller sechs Tabellen</w:t>
        <w:tab/>
        <w:t xml:space="preserve">21</w:t>
      </w:r>
    </w:p>
    <w:p>
      <w:r>
        <w:br w:type="page"/>
      </w:r>
    </w:p>
    <w:p>
      <w:pPr>
        <w:pStyle w:val="Heading1"/>
        <w:spacing w:after="120" w:before="280" w:line="360"/>
      </w:pPr>
      <w:r>
        <w:t xml:space="preserve">Quellenverzeichnis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[1]  </w:t>
      </w:r>
      <w:r>
        <w:rPr>
          <w:sz w:val="22"/>
          <w:szCs w:val="22"/>
        </w:rPr>
        <w:t xml:space="preserve">Oracle Corporation: Java SE 17 Documentation. Oracle, 2021. URL: https://docs.oracle.com/en/java/javase/17/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[2]  </w:t>
      </w:r>
      <w:r>
        <w:rPr>
          <w:sz w:val="22"/>
          <w:szCs w:val="22"/>
        </w:rPr>
        <w:t xml:space="preserve">Oracle / OpenJFX: JavaFX 21 API Documentation. 2021. URL: https://openjfx.io/javadoc/21/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[3]  </w:t>
      </w:r>
      <w:r>
        <w:rPr>
          <w:sz w:val="22"/>
          <w:szCs w:val="22"/>
        </w:rPr>
        <w:t xml:space="preserve">Oracle / MySQL: MySQL 8.0 Reference Manual. 2023. URL: https://dev.mysql.com/doc/refman/8.0/en/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[4]  </w:t>
      </w:r>
      <w:r>
        <w:rPr>
          <w:sz w:val="22"/>
          <w:szCs w:val="22"/>
        </w:rPr>
        <w:t xml:space="preserve">SRH Berufliche Rehabilitation GmbH: DOIT-Leitfaden, Gruppe 2551. Unveröffentlichtes internes Dokument, Heidelberg, 2024.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[5]  </w:t>
      </w:r>
      <w:r>
        <w:rPr>
          <w:sz w:val="22"/>
          <w:szCs w:val="22"/>
        </w:rPr>
        <w:t xml:space="preserve">Gamma, E. / Helm, R. / Johnson, R. / Vlissides, J.: Design Patterns. Addison-Wesley, Boston, 1994.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[6]  </w:t>
      </w:r>
      <w:r>
        <w:rPr>
          <w:sz w:val="22"/>
          <w:szCs w:val="22"/>
        </w:rPr>
        <w:t xml:space="preserve">Oracle / OpenJFX: JavaFX 21 – TableView (API). URL: https://openjfx.io/javadoc/21/javafx.controls/javafx/scene/control/TableView.html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[7]  </w:t>
      </w:r>
      <w:r>
        <w:rPr>
          <w:sz w:val="22"/>
          <w:szCs w:val="22"/>
        </w:rPr>
        <w:t xml:space="preserve">Oracle / OpenJFX: JavaFX 21 – ObservableList (API). URL: https://openjfx.io/javadoc/21/javafx.base/javafx/collections/ObservableList.html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[8]  </w:t>
      </w:r>
      <w:r>
        <w:rPr>
          <w:sz w:val="22"/>
          <w:szCs w:val="22"/>
        </w:rPr>
        <w:t xml:space="preserve">Oracle / OpenJFX: JavaFX 21 – TabPane (API). URL: https://openjfx.io/javadoc/21/javafx.controls/javafx/scene/control/TabPane.html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[9]  </w:t>
      </w:r>
      <w:r>
        <w:rPr>
          <w:sz w:val="22"/>
          <w:szCs w:val="22"/>
        </w:rPr>
        <w:t xml:space="preserve">Oracle / OpenJFX: JavaFX 21 – Dialog (API). URL: https://openjfx.io/javadoc/21/javafx.controls/javafx/scene/control/Dialog.html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[10]  </w:t>
      </w:r>
      <w:r>
        <w:rPr>
          <w:sz w:val="22"/>
          <w:szCs w:val="22"/>
        </w:rPr>
        <w:t xml:space="preserve">Oracle: Introduction to FXML (JavaFX-Tutorial). URL: https://docs.oracle.com/javase/8/javafx/fxml-tutorial/get_started.htm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[11]  </w:t>
      </w:r>
      <w:r>
        <w:rPr>
          <w:sz w:val="22"/>
          <w:szCs w:val="22"/>
        </w:rPr>
        <w:t xml:space="preserve">Apache Software Foundation: Maven – Getting Started Guide. URL: https://maven.apache.org/guides/getting-started/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[12]  </w:t>
      </w:r>
      <w:r>
        <w:rPr>
          <w:sz w:val="22"/>
          <w:szCs w:val="22"/>
        </w:rPr>
        <w:t xml:space="preserve">Oracle: MySQL Connector/J Developer Guide. URL: https://dev.mysql.com/doc/connector-j/en/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[13]  </w:t>
      </w:r>
      <w:r>
        <w:rPr>
          <w:sz w:val="22"/>
          <w:szCs w:val="22"/>
        </w:rPr>
        <w:t xml:space="preserve">Oracle: Java SE 8 API – java.sql.PreparedStatement. URL: https://docs.oracle.com/javase/8/docs/api/java/sql/PreparedStatement.html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[14]  </w:t>
      </w:r>
      <w:r>
        <w:rPr>
          <w:sz w:val="22"/>
          <w:szCs w:val="22"/>
        </w:rPr>
        <w:t xml:space="preserve">Czeschla, Jörg: Was sind Generics? javabeginners.de. URL: https://javabeginners.de/Klassen_und_Interfaces/Generics/Was_sind_Generics.php (Abruf: 19.06.2026)</w:t>
      </w:r>
    </w:p>
    <w:sectPr>
      <w:footerReference w:type="default" r:id="rId7"/>
      <w:pgSz w:w="11906" w:h="16838" w:orient="portrait"/>
      <w:pgMar w:top="1418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7D6" w:sz="4" w:space="6"/>
      </w:pBdr>
      <w:spacing w:line="240"/>
      <w:jc w:val="center"/>
    </w:pPr>
    <w:r>
      <w:rPr>
        <w:color w:val="666666"/>
        <w:sz w:val="18"/>
        <w:szCs w:val="18"/>
      </w:rPr>
      <w:t xml:space="preserve">Projektdokumentation - Sascha Schulz (Gruppe 2551)   - 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rFonts w:ascii="Times New Roman" w:hAnsi="Times New Roman"/>
      <w:b/>
      <w:i w:val="0"/>
      <w:color w:val="000000"/>
      <w:sz w:val="40"/>
      <w:szCs w:val="56"/>
    </w:rPr>
  </w:style>
  <w:style w:type="paragraph" w:styleId="Heading1">
    <w:name w:val="Heading 1"/>
    <w:basedOn w:val="Normal"/>
    <w:next w:val="Normal"/>
    <w:qFormat/>
    <w:rPr>
      <w:rFonts w:ascii="Times New Roman" w:hAnsi="Times New Roman"/>
      <w:b/>
      <w:i w:val="0"/>
      <w:color w:val="000000"/>
      <w:sz w:val="28"/>
      <w:szCs w:val="32"/>
    </w:rPr>
  </w:style>
  <w:style w:type="paragraph" w:styleId="Heading2">
    <w:name w:val="Heading 2"/>
    <w:basedOn w:val="Normal"/>
    <w:next w:val="Normal"/>
    <w:qFormat/>
    <w:rPr>
      <w:rFonts w:ascii="Times New Roman" w:hAnsi="Times New Roman"/>
      <w:b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qFormat/>
    <w:rPr>
      <w:rFonts w:ascii="Times New Roman" w:hAnsi="Times New Roman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Times New Roman" w:hAnsi="Times New Roman"/>
      <w:b/>
      <w:i/>
      <w:iCs/>
      <w:color w:val="000000"/>
      <w:sz w:val="24"/>
    </w:rPr>
  </w:style>
  <w:style w:type="paragraph" w:styleId="Heading5">
    <w:name w:val="Heading 5"/>
    <w:basedOn w:val="Normal"/>
    <w:next w:val="Normal"/>
    <w:qFormat/>
    <w:rPr>
      <w:rFonts w:ascii="Times New Roman" w:hAnsi="Times New Roman"/>
      <w:b/>
      <w:i/>
      <w:color w:val="000000"/>
      <w:sz w:val="24"/>
    </w:rPr>
  </w:style>
  <w:style w:type="paragraph" w:styleId="Heading6">
    <w:name w:val="Heading 6"/>
    <w:basedOn w:val="Normal"/>
    <w:next w:val="Normal"/>
    <w:qFormat/>
    <w:rPr>
      <w:rFonts w:ascii="Times New Roman" w:hAnsi="Times New Roman"/>
      <w:b/>
      <w:i/>
      <w:color w:val="000000"/>
      <w:sz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28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4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2026-06-08T19:11:32.703Z</dcterms:created>
  <dcterms:modified xsi:type="dcterms:W3CDTF">2026-06-08T19:11:32.703Z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