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80" w:line="360"/>
      </w:pPr>
      <w:r>
        <w:t xml:space="preserve">6	Abnahme- und Testphase</w:t>
      </w:r>
    </w:p>
    <w:p>
      <w:pPr>
        <w:pStyle w:val="Heading2"/>
        <w:spacing w:after="120" w:before="200" w:line="360"/>
      </w:pPr>
      <w:r>
        <w:t xml:space="preserve">6.1	Testfälle und Testergebnisse</w:t>
      </w:r>
    </w:p>
    <w:p>
      <w:pPr>
        <w:spacing w:after="120" w:before="0" w:line="360"/>
        <w:jc w:val="both"/>
      </w:pPr>
      <w:r>
        <w:t>Zur Qualitätssicherung wurden zehn Testfälle definiert, die alle Pflicht- und Zusatzanforderungen abdecken. Jeder davon wird manuell durchgeführt und das Ergebnis als bestanden oder fehlgeschlagen protokolliert. Da die Funktionen vollständig umgesetzt und die in Phase 6 gefundenen Fehler behoben sind, sollten alle Pflicht-Testfälle bestehen.</w:t>
      </w:r>
    </w:p>
    <w:p>
      <w:pPr>
        <w:spacing w:after="60" w:before="120" w:line="240"/>
      </w:pPr>
      <w:r>
        <w:rPr>
          <w:i/>
          <w:iCs/>
          <w:sz w:val="20"/>
          <w:szCs w:val="20"/>
        </w:rPr>
        <w:t xml:space="preserve">Tabelle </w:t>
      </w:r>
      <w:fldSimple w:instr="SEQ Tabelle \* ARABIC"/>
      <w:r>
        <w:rPr>
          <w:i/>
          <w:iCs/>
          <w:sz w:val="20"/>
          <w:szCs w:val="20"/>
        </w:rPr>
        <w:t xml:space="preserve">: Definierte Testfälle (Auszug)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726"/>
        <w:gridCol w:w="2721"/>
        <w:gridCol w:w="4535"/>
        <w:gridCol w:w="1088"/>
      </w:tblGrid>
      <w:tr>
        <w:trPr>
          <w:tblHeader/>
        </w:trPr>
        <w:tc>
          <w:tcPr>
            <w:tcW w:type="dxa" w:w="726"/>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w:t>
            </w:r>
          </w:p>
        </w:tc>
        <w:tc>
          <w:tcPr>
            <w:tcW w:type="dxa" w:w="272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Testfall</w:t>
            </w:r>
          </w:p>
        </w:tc>
        <w:tc>
          <w:tcPr>
            <w:tcW w:type="dxa" w:w="4535"/>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Erwartetes Ergebnis</w:t>
            </w:r>
          </w:p>
        </w:tc>
        <w:tc>
          <w:tcPr>
            <w:tcW w:type="dxa" w:w="1088"/>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Prio</w:t>
            </w:r>
          </w:p>
        </w:tc>
      </w:tr>
      <w:tr>
        <w:trPr>
          <w:tblHeader w:val="false"/>
        </w:trPr>
        <w:tc>
          <w:tcPr>
            <w:tcW w:type="dxa" w:w="72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T1</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 anlegen</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Erscheint in Tabelle, DB-Eintrag vorhanden</w:t>
            </w:r>
          </w:p>
        </w:tc>
        <w:tc>
          <w:tcPr>
            <w:tcW w:type="dxa" w:w="108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r>
        <w:trPr>
          <w:tblHeader w:val="false"/>
        </w:trPr>
        <w:tc>
          <w:tcPr>
            <w:tcW w:type="dxa" w:w="72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T2</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 bearbeiten</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Geänderte Werte in Tabelle und DB</w:t>
            </w:r>
          </w:p>
        </w:tc>
        <w:tc>
          <w:tcPr>
            <w:tcW w:type="dxa" w:w="108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r>
        <w:trPr>
          <w:tblHeader w:val="false"/>
        </w:trPr>
        <w:tc>
          <w:tcPr>
            <w:tcW w:type="dxa" w:w="72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T3</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 löschen</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Aus Tabelle und DB entfernt</w:t>
            </w:r>
          </w:p>
        </w:tc>
        <w:tc>
          <w:tcPr>
            <w:tcW w:type="dxa" w:w="108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r>
        <w:trPr>
          <w:tblHeader w:val="false"/>
        </w:trPr>
        <w:tc>
          <w:tcPr>
            <w:tcW w:type="dxa" w:w="72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T4</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Mindestbestand-Warnung</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Zeile rot bei Bestand ≤ Mindestbestand</w:t>
            </w:r>
          </w:p>
        </w:tc>
        <w:tc>
          <w:tcPr>
            <w:tcW w:type="dxa" w:w="108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r>
        <w:trPr>
          <w:tblHeader w:val="false"/>
        </w:trPr>
        <w:tc>
          <w:tcPr>
            <w:tcW w:type="dxa" w:w="72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T5</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Suche nach Name</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Tabelle filtert live beim Tippen</w:t>
            </w:r>
          </w:p>
        </w:tc>
        <w:tc>
          <w:tcPr>
            <w:tcW w:type="dxa" w:w="108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Mittel</w:t>
            </w:r>
          </w:p>
        </w:tc>
      </w:tr>
      <w:tr>
        <w:trPr>
          <w:tblHeader w:val="false"/>
        </w:trPr>
        <w:tc>
          <w:tcPr>
            <w:tcW w:type="dxa" w:w="72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T6</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Filter nach Station</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Nur Material der gewählten Station</w:t>
            </w:r>
          </w:p>
        </w:tc>
        <w:tc>
          <w:tcPr>
            <w:tcW w:type="dxa" w:w="108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Mittel</w:t>
            </w:r>
          </w:p>
        </w:tc>
      </w:tr>
      <w:tr>
        <w:trPr>
          <w:tblHeader w:val="false"/>
        </w:trPr>
        <w:tc>
          <w:tcPr>
            <w:tcW w:type="dxa" w:w="72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T7</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AUSGANG buchen</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Bestand sinkt, Buchung in Historie</w:t>
            </w:r>
          </w:p>
        </w:tc>
        <w:tc>
          <w:tcPr>
            <w:tcW w:type="dxa" w:w="108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r>
        <w:trPr>
          <w:tblHeader w:val="false"/>
        </w:trPr>
        <w:tc>
          <w:tcPr>
            <w:tcW w:type="dxa" w:w="72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T8</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EINGANG buchen</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Bestand steigt, Buchung in Historie</w:t>
            </w:r>
          </w:p>
        </w:tc>
        <w:tc>
          <w:tcPr>
            <w:tcW w:type="dxa" w:w="108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Mittel</w:t>
            </w:r>
          </w:p>
        </w:tc>
      </w:tr>
      <w:tr>
        <w:trPr>
          <w:tblHeader w:val="false"/>
        </w:trPr>
        <w:tc>
          <w:tcPr>
            <w:tcW w:type="dxa" w:w="72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T9</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Pflichtfeld leer</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Fehlermeldung, kein DB-Insert</w:t>
            </w:r>
          </w:p>
        </w:tc>
        <w:tc>
          <w:tcPr>
            <w:tcW w:type="dxa" w:w="108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bl>
    <w:p>
      <w:pPr>
        <w:spacing w:after="120"/>
      </w:pPr>
    </w:p>
    <w:p>
      <w:pPr>
        <w:spacing w:after="120" w:before="0" w:line="360"/>
        <w:jc w:val="both"/>
      </w:pPr>
      <w:r>
        <w:t>Während der Umsetzung traten mehrere Fehler auf. In der BestandsbewegungDAO war ein Primärschlüssel falsch benannt, in der DBConnection stimmten Datenbankname und Port nicht, und einmal wurde ein ENUM-Wert (TRANSFER) verwendet, den das Schema gar nicht vorsah. Lokalisiert habe ich die Fehler jeweils über die Fehlermeldung; Ursache und Lösung sind im Projekttagebuch festgehalten.</w:t>
      </w:r>
    </w:p>
    <w:p>
      <w:pPr>
        <w:pStyle w:val="Heading2"/>
        <w:spacing w:after="120" w:before="200" w:line="360"/>
      </w:pPr>
      <w:r>
        <w:t xml:space="preserve">6.2	Soll-Ist-Vergleich</w:t>
      </w:r>
    </w:p>
    <w:p>
      <w:pPr>
        <w:spacing w:after="60" w:before="120" w:line="240"/>
      </w:pPr>
      <w:r>
        <w:rPr>
          <w:i/>
          <w:iCs/>
          <w:sz w:val="20"/>
          <w:szCs w:val="20"/>
        </w:rPr>
        <w:t xml:space="preserve">Tabelle </w:t>
      </w:r>
      <w:fldSimple w:instr="SEQ Tabelle \* ARABIC"/>
      <w:r>
        <w:rPr>
          <w:i/>
          <w:iCs/>
          <w:sz w:val="20"/>
          <w:szCs w:val="20"/>
        </w:rPr>
        <w:t xml:space="preserve">: Soll-Ist-Vergleich der Anforderungen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84"/>
        <w:gridCol w:w="4535"/>
        <w:gridCol w:w="1451"/>
      </w:tblGrid>
      <w:tr>
        <w:trPr>
          <w:tblHeader/>
        </w:trPr>
        <w:tc>
          <w:tcPr>
            <w:tcW w:type="dxa" w:w="3084"/>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Anforderung</w:t>
            </w:r>
          </w:p>
        </w:tc>
        <w:tc>
          <w:tcPr>
            <w:tcW w:type="dxa" w:w="4535"/>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Umsetzung</w:t>
            </w:r>
          </w:p>
        </w:tc>
        <w:tc>
          <w:tcPr>
            <w:tcW w:type="dxa" w:w="145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Status</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MySQL ≥ 5 Tabellen</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6 Tabellen umgesetzt</w:t>
            </w:r>
          </w:p>
        </w:tc>
        <w:tc>
          <w:tcPr>
            <w:tcW w:type="dxa" w:w="145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CRUD-Operationen</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Vollständig für alle 6 Entitäten</w:t>
            </w:r>
          </w:p>
        </w:tc>
        <w:tc>
          <w:tcPr>
            <w:tcW w:type="dxa" w:w="145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MVC-Architektur</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Model / View / Controller + DAO</w:t>
            </w:r>
          </w:p>
        </w:tc>
        <w:tc>
          <w:tcPr>
            <w:tcW w:type="dxa" w:w="145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Such-/Filterfunktion</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Suche nach Name, Filter nach Station</w:t>
            </w:r>
          </w:p>
        </w:tc>
        <w:tc>
          <w:tcPr>
            <w:tcW w:type="dxa" w:w="145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Mindestbestand-Warnung</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Rote Zeilenfärbung (RowFactory)</w:t>
            </w:r>
          </w:p>
        </w:tc>
        <w:tc>
          <w:tcPr>
            <w:tcW w:type="dxa" w:w="145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Buchungshistorie</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Tabelle bestandsbewegungen</w:t>
            </w:r>
          </w:p>
        </w:tc>
        <w:tc>
          <w:tcPr>
            <w:tcW w:type="dxa" w:w="145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bl>
    <w:p>
      <w:pPr>
        <w:spacing w:after="120"/>
      </w:pPr>
    </w:p>
    <w:p>
      <w:pPr>
        <w:pStyle w:val="Heading2"/>
        <w:spacing w:after="120" w:before="200" w:line="360"/>
      </w:pPr>
      <w:r>
        <w:t xml:space="preserve">6.3	Abnahme und Übergabe</w:t>
      </w:r>
    </w:p>
    <w:p>
      <w:pPr>
        <w:spacing w:after="120" w:before="0" w:line="360"/>
        <w:jc w:val="both"/>
      </w:pPr>
      <w:r>
        <w:t xml:space="preserve">Die formale Abnahme erfolgt durch Frau Cramer am Ende von Block 2 (KW 26, bis 26.06.2026). Grundlage ist die vollständige Umsetzung der Pflichtanforderungen: lauffähige Anwendung, stabile Datenbankverbindung, korrekte Such- und Filterfunktion, sichtbare Mindestbestand-Warnung sowie eine vollständige Dokumentation. Übergeben werden der Quellcode (Maven-Projekt, Git), das Datenbankskript (Anhang B), das Benutzerhandbuch (Anhang C), das ER-Diagramm (Anhang A) und die Projektdokumentation als PDF (Moodle).</w:t>
      </w:r>
    </w:p>
    <w:p>
      <w:pPr>
        <w:spacing w:after="120" w:before="0" w:line="360"/>
        <w:jc w:val="both"/>
      </w:pPr>
      <w:r>
        <w:t xml:space="preserve">Bekannte Einschränkungen der aktuellen Version: keine Benutzerverwaltung mit Login, keine automatische Nachbestellung (das System warnt nur), keine Netzwerkfunktion und kein Export nach PDF oder Excel.</w:t>
      </w:r>
    </w:p>
    <w:p>
      <w:pPr>
        <w:pStyle w:val="Heading1"/>
        <w:spacing w:after="120" w:before="280" w:line="360"/>
      </w:pPr>
      <w:r>
        <w:t xml:space="preserve">7	Dokumentation</w:t>
      </w:r>
    </w:p>
    <w:p>
      <w:pPr>
        <w:pStyle w:val="Heading2"/>
        <w:spacing w:after="120" w:before="200" w:line="360"/>
      </w:pPr>
      <w:r>
        <w:t xml:space="preserve">7.1	Benutzerhandbuch</w:t>
      </w:r>
    </w:p>
    <w:p>
      <w:pPr>
        <w:spacing w:after="120" w:before="0" w:line="360"/>
        <w:jc w:val="both"/>
      </w:pPr>
      <w:r>
        <w:t>Für die Endnutzer entstand ein ausführliches Benutzerhandbuch. Es führt Schritt für Schritt durch Programmstart, Navigation und die einzelnen Funktionen, vom Anlegen eines Materials über Suche und Filter bis zur Buchungshistorie. Am Ende steht ein FAQ-Teil zur Fehlerbehebung. Das vollständige Handbuch steht in Anhang C.</w:t>
      </w:r>
    </w:p>
    <w:p>
      <w:pPr>
        <w:pStyle w:val="Heading2"/>
        <w:spacing w:after="120" w:before="200" w:line="360"/>
      </w:pPr>
      <w:r>
        <w:t xml:space="preserve">7.2	Entwicklerdokumentation</w:t>
      </w:r>
    </w:p>
    <w:p>
      <w:pPr>
        <w:spacing w:after="120" w:before="0" w:line="360"/>
        <w:jc w:val="both"/>
      </w:pPr>
      <w:r>
        <w:t>Damit sich das Projekt technisch nachvollziehen lässt, ist der Quellcode kommentiert und nach dem MVC- und DAO-Muster gegliedert; Klassen- und Methodennamen sind sprechend gewählt. Eine README erläutert Aufbau und Start, das Datenbankskript legt Schema und Testdaten an, und im Projekttagebuch sind die Entscheidungen samt Problemen und Lösungen dokumentiert. Wer die Anwendung später weiterentwickelt, findet so einen Einstieg.</w:t>
      </w:r>
    </w:p>
    <w:p>
      <w:pPr>
        <w:pStyle w:val="Heading1"/>
        <w:spacing w:after="120" w:before="280" w:line="360"/>
      </w:pPr>
      <w:r>
        <w:t xml:space="preserve">8	Fazit</w:t>
      </w:r>
    </w:p>
    <w:p>
      <w:pPr>
        <w:pStyle w:val="Heading2"/>
        <w:spacing w:after="120" w:before="200" w:line="360"/>
      </w:pPr>
      <w:r>
        <w:t xml:space="preserve">8.1	Soll-Ist-Vergleich der Projektziele</w:t>
      </w:r>
    </w:p>
    <w:p>
      <w:pPr>
        <w:spacing w:after="120" w:before="0" w:line="360"/>
        <w:jc w:val="both"/>
      </w:pPr>
      <w:r>
        <w:t>Die Kernziele sind erreicht. Alle vier Pflichtanforderungen wurden umgesetzt: die sechs Tabellen, das vollständige CRUD, die MVC-Architektur mit DAO-Schicht sowie Suche, Filter und Mindestbestand-Warnung laufen wie vorgesehen. Auch der Zeitplan ist aufgegangen – der eingeplante Puffer verschaffte in der Test- und Dokumentationsphase etwas Luft. Insgesamt bin ich mit dem Ergebnis zufrieden.</w:t>
      </w:r>
    </w:p>
    <w:p>
      <w:pPr>
        <w:pStyle w:val="Heading2"/>
        <w:spacing w:after="120" w:before="200" w:line="360"/>
      </w:pPr>
      <w:r>
        <w:t xml:space="preserve">8.2	Lessons Learned</w:t>
      </w:r>
    </w:p>
    <w:p>
      <w:pPr>
        <w:spacing w:after="120" w:before="0" w:line="360"/>
        <w:jc w:val="both"/>
      </w:pPr>
      <w:r>
        <w:t>Das DAO-Muster, die Singleton-Verbindung und den Aufbau der Model-Klassen kannte ich schon aus dem Unterricht, dem Dino-Park-Beispiel von Frau Cramer. Die JavaFX-Themen musste ich mir dagegen selbst erarbeiten – TableView mit ObservableList, die gefilterte Bestandssicht, Dialoge, das TabPane und die Zeilenfärbung über eine RowFactory. Auf SQL-Ebene war für mich die wichtigste Erkenntnis, den Bestand nicht zu speichern, sondern per Aggregation aus den Bewegungen zu berechnen. Und im Umgang mit Fehlern hat sich ein festes Vorgehen bewährt: erst die Meldung lesen, dann die Ursache eingrenzen, am Ende die Lösung ins Tagebuch schreiben.</w:t>
      </w:r>
    </w:p>
    <w:p>
      <w:pPr>
        <w:spacing w:after="120" w:before="0" w:line="360"/>
        <w:jc w:val="both"/>
      </w:pPr>
      <w:r>
        <w:t>Eine größere Umstrukturierung kam erst spät dazu. Mir fiel auf, dass alle sechs DAO-Klassen dieselben vier Methoden enthielten – also habe ich diese in der Schnittstelle GenericDAO&lt;T&gt; zusammengefasst und nachträglich in jede DAO eingezogen. Neu war für mich dabei der Typ-Platzhalter &lt;T&gt;, die Java-Generics. Am Anfang war mir nicht klar, warum in den spitzen Klammern ein Buchstabe statt eines richtigen Typs steht. Ich habe mir das über ein Java-Tutorial [14] angelesen und am eigenen Code ausprobiert: &lt;T&gt; ist nur ein Platzhalter, der beim Implementieren festgelegt wird, zum Beispiel GenericDAO&lt;Material&gt;. So merkt der Compiler Typfehler schon beim Übersetzen. Danach fiel mir die gemeinsame Schnittstelle leicht. Der gemeinsame Aufbau steht jetzt nur noch an einer Stelle, und der Compiler stellt sicher, dass sich jede Klasse daran hält. Am Verhalten des Programms hat sich nichts geändert.</w:t>
      </w:r>
    </w:p>
    <w:p>
      <w:pPr>
        <w:spacing w:after="120" w:before="0" w:line="360"/>
        <w:jc w:val="both"/>
      </w:pPr>
      <w:r>
        <w:t>Ähnlich bin ich später beim MainController vorgegangen, der mit über 600 Zeilen für alle sieben Reiter kaum noch zu überblicken war. Inzwischen hat jeder Reiter seine eigene kleine Klasse, und der wiederkehrende Ablauf liegt nur einmal in einer Basisklasse. Funktional ist alles beim Alten geblieben, der Code ist aber kürzer und leichter zu lesen.</w:t>
      </w:r>
    </w:p>
    <w:p>
      <w:pPr>
        <w:pStyle w:val="Heading2"/>
        <w:spacing w:after="120" w:before="200" w:line="360"/>
      </w:pPr>
      <w:r>
        <w:t xml:space="preserve">8.3	Ausblick</w:t>
      </w:r>
    </w:p>
    <w:p>
      <w:pPr>
        <w:spacing w:after="120" w:before="0" w:line="360"/>
        <w:jc w:val="both"/>
      </w:pPr>
      <w:r>
        <w:t>Für einen produktiven Einsatz wären noch einige Erweiterungen sinnvoll – eine Benutzerverwaltung mit Login und Rollen, eine Backup-Funktion und ein Export nach PDF und Excel. Beim nächsten Mal würde ich die Testfälle früher und begleitend zur Entwicklung schreiben und der Oberfläche von Anfang an ein einheitliches CSS-Stylesheet geben. Im gegebenen Zeitrahmen hatten diese Punkte bewusst keine Priorität.</w:t>
      </w:r>
    </w:p>
    <w:p>
      <w:r>
        <w:br w:type="page"/>
      </w:r>
    </w:p>
    <w:p>
      <w:pPr>
        <w:pStyle w:val="Heading1"/>
        <w:spacing w:after="120" w:before="280" w:line="360"/>
      </w:pPr>
      <w:r>
        <w:t xml:space="preserve">Abgabeerklärung</w:t>
      </w:r>
    </w:p>
    <w:p>
      <w:pPr>
        <w:spacing w:after="120" w:before="0" w:line="360"/>
        <w:jc w:val="both"/>
      </w:pPr>
      <w:r>
        <w:t xml:space="preserve">Ich erkläre hiermit, dass ich diese Projektdokumentation selbstständig verfasst und keine anderen als die angegebenen Quellen und Hilfsmittel verwendet habe.</w:t>
      </w:r>
    </w:p>
    <w:p>
      <w:pPr>
        <w:spacing w:after="30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tcBorders>
              <w:top w:val="single" w:color="B9C7D6" w:sz="1"/>
              <w:left w:val="single" w:color="B9C7D6" w:sz="1"/>
              <w:bottom w:val="single" w:color="222222" w:sz="6"/>
              <w:right w:val="single" w:color="B9C7D6" w:sz="1"/>
            </w:tcBorders>
            <w:tcMar>
              <w:top w:type="dxa" w:w="300"/>
              <w:left w:type="dxa" w:w="120"/>
              <w:bottom w:type="dxa" w:w="60"/>
              <w:right w:type="dxa" w:w="120"/>
            </w:tcMar>
          </w:tcPr>
          <w:p>
            <w:pPr>
              <w:spacing w:line="240"/>
            </w:pPr>
            <w:r>
              <w:rPr>
                <w:sz w:val="22"/>
                <w:szCs w:val="22"/>
              </w:rPr>
              <w:t xml:space="preserve">Ort, Datum</w:t>
            </w:r>
          </w:p>
        </w:tc>
        <w:tc>
          <w:tcPr>
            <w:tcW w:type="dxa" w:w="4535"/>
            <w:tcBorders>
              <w:top w:val="single" w:color="B9C7D6" w:sz="1"/>
              <w:left w:val="single" w:color="B9C7D6" w:sz="1"/>
              <w:bottom w:val="single" w:color="222222" w:sz="6"/>
              <w:right w:val="single" w:color="B9C7D6" w:sz="1"/>
            </w:tcBorders>
            <w:tcMar>
              <w:top w:type="dxa" w:w="300"/>
              <w:left w:type="dxa" w:w="120"/>
              <w:bottom w:type="dxa" w:w="60"/>
              <w:right w:type="dxa" w:w="120"/>
            </w:tcMar>
          </w:tcPr>
          <w:p>
            <w:pPr>
              <w:spacing w:line="240"/>
            </w:pPr>
            <w:r>
              <w:rPr>
                <w:sz w:val="22"/>
                <w:szCs w:val="22"/>
              </w:rPr>
              <w:t xml:space="preserve">Unterschrift (Sascha Schulz)</w:t>
            </w:r>
          </w:p>
        </w:tc>
      </w:tr>
    </w:tbl>
    <w:sectPr>
      <w:footerReference w:type="default" r:id="rId7"/>
      <w:pgSz w:w="11906" w:h="16838" w:orient="portrait"/>
      <w:pgMar w:top="1418" w:right="1418"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7D6" w:sz="4" w:space="6"/>
      </w:pBdr>
      <w:spacing w:line="240"/>
      <w:jc w:val="center"/>
    </w:pPr>
    <w:r>
      <w:rPr>
        <w:color w:val="666666"/>
        <w:sz w:val="18"/>
        <w:szCs w:val="18"/>
      </w:rPr>
      <w:t xml:space="preserve">Projektdokumentation - Sascha Schulz (Gruppe 2551)   -   Seite </w:t>
    </w: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rFonts w:ascii="Times New Roman" w:hAnsi="Times New Roman"/>
      <w:b/>
      <w:i w:val="0"/>
      <w:color w:val="000000"/>
      <w:sz w:val="40"/>
      <w:szCs w:val="56"/>
    </w:rPr>
  </w:style>
  <w:style w:type="paragraph" w:styleId="Heading1">
    <w:name w:val="Heading 1"/>
    <w:basedOn w:val="Normal"/>
    <w:next w:val="Normal"/>
    <w:qFormat/>
    <w:rPr>
      <w:rFonts w:ascii="Times New Roman" w:hAnsi="Times New Roman"/>
      <w:b/>
      <w:i w:val="0"/>
      <w:color w:val="000000"/>
      <w:sz w:val="28"/>
      <w:szCs w:val="32"/>
    </w:rPr>
  </w:style>
  <w:style w:type="paragraph" w:styleId="Heading2">
    <w:name w:val="Heading 2"/>
    <w:basedOn w:val="Normal"/>
    <w:next w:val="Normal"/>
    <w:qFormat/>
    <w:rPr>
      <w:rFonts w:ascii="Times New Roman" w:hAnsi="Times New Roman"/>
      <w:b/>
      <w:i w:val="0"/>
      <w:color w:val="000000"/>
      <w:sz w:val="24"/>
      <w:szCs w:val="26"/>
    </w:rPr>
  </w:style>
  <w:style w:type="paragraph" w:styleId="Heading3">
    <w:name w:val="Heading 3"/>
    <w:basedOn w:val="Normal"/>
    <w:next w:val="Normal"/>
    <w:qFormat/>
    <w:rPr>
      <w:rFonts w:ascii="Times New Roman" w:hAnsi="Times New Roman"/>
      <w:b/>
      <w:i/>
      <w:color w:val="000000"/>
      <w:sz w:val="24"/>
      <w:szCs w:val="24"/>
    </w:rPr>
  </w:style>
  <w:style w:type="paragraph" w:styleId="Heading4">
    <w:name w:val="Heading 4"/>
    <w:basedOn w:val="Normal"/>
    <w:next w:val="Normal"/>
    <w:qFormat/>
    <w:rPr>
      <w:rFonts w:ascii="Times New Roman" w:hAnsi="Times New Roman"/>
      <w:b/>
      <w:i/>
      <w:iCs/>
      <w:color w:val="000000"/>
      <w:sz w:val="24"/>
    </w:rPr>
  </w:style>
  <w:style w:type="paragraph" w:styleId="Heading5">
    <w:name w:val="Heading 5"/>
    <w:basedOn w:val="Normal"/>
    <w:next w:val="Normal"/>
    <w:qFormat/>
    <w:rPr>
      <w:rFonts w:ascii="Times New Roman" w:hAnsi="Times New Roman"/>
      <w:b/>
      <w:i/>
      <w:color w:val="000000"/>
      <w:sz w:val="24"/>
    </w:rPr>
  </w:style>
  <w:style w:type="paragraph" w:styleId="Heading6">
    <w:name w:val="Heading 6"/>
    <w:basedOn w:val="Normal"/>
    <w:next w:val="Normal"/>
    <w:qFormat/>
    <w:rPr>
      <w:rFonts w:ascii="Times New Roman" w:hAnsi="Times New Roman"/>
      <w:b/>
      <w:i/>
      <w:color w:val="000000"/>
      <w:sz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i w:val="0"/>
      <w:color w:val="000000"/>
      <w:sz w:val="28"/>
      <w:szCs w:val="32"/>
    </w:rPr>
  </w:style>
  <w:style w:type="paragraph" w:styleId="Heading2">
    <w:name w:val="Heading 2"/>
    <w:basedOn w:val="Normal"/>
    <w:next w:val="Normal"/>
    <w:qFormat/>
    <w:pPr>
      <w:keepNext/>
      <w:spacing w:after="120" w:before="200"/>
      <w:outlineLvl w:val="1"/>
    </w:pPr>
    <w:rPr>
      <w:rFonts w:ascii="Times New Roman" w:cs="Times New Roman" w:eastAsia="Times New Roman" w:hAnsi="Times New Roman"/>
      <w:b/>
      <w:bCs/>
      <w:i w:val="0"/>
      <w:color w:val="000000"/>
      <w:sz w:val="24"/>
      <w:szCs w:val="28"/>
    </w:rPr>
  </w:style>
  <w:style w:type="paragraph" w:styleId="Heading3">
    <w:name w:val="Heading 3"/>
    <w:basedOn w:val="Normal"/>
    <w:next w:val="Normal"/>
    <w:qFormat/>
    <w:pPr>
      <w:keepNext/>
      <w:spacing w:after="100" w:before="160"/>
      <w:outlineLvl w:val="2"/>
    </w:pPr>
    <w:rPr>
      <w:rFonts w:ascii="Times New Roman" w:cs="Times New Roman" w:eastAsia="Times New Roman" w:hAnsi="Times New Roman"/>
      <w:b/>
      <w:bCs/>
      <w:i/>
      <w:color w:val="000000"/>
      <w:sz w:val="24"/>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2026-06-08T19:11:32.892Z</dcterms:created>
  <dcterms:modified xsi:type="dcterms:W3CDTF">2026-06-08T19:11:32.892Z</dcterms:modified>
</cp:coreProperties>
</file>

<file path=docProps/custom.xml><?xml version="1.0" encoding="utf-8"?>
<Properties xmlns="http://schemas.openxmlformats.org/officeDocument/2006/custom-properties" xmlns:vt="http://schemas.openxmlformats.org/officeDocument/2006/docPropsVTypes"/>
</file>