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3   Durchführung &amp; Auftragsbearbeitung</w:t>
      </w:r>
    </w:p>
    <w:p>
      <w:pPr>
        <w:spacing w:after="90" w:before="0" w:line="360" w:lineRule="auto"/>
      </w:pPr>
      <w:r>
        <w:t xml:space="preserve">Dieses Kapitel dokumentiert die schrittweise Umsetzung des Projekts in sieben Phasen gemäß Projektantrag (v2). Codebeispiele sind repräsentative Auszüge; der vollständige Quellcode ist im Abgabepaket enthalten.</w:t>
      </w:r>
    </w:p>
    <w:p>
      <w:pPr>
        <w:pStyle w:val="Heading2"/>
      </w:pPr>
      <w:r>
        <w:t xml:space="preserve">3.1  Phase 1: Analyse &amp; Planung (20 Stunden)</w:t>
      </w:r>
    </w:p>
    <w:p>
      <w:pPr>
        <w:pStyle w:val="Heading3"/>
      </w:pPr>
      <w:r>
        <w:t xml:space="preserve">3.1.1  Anforderungsaufnahme</w:t>
      </w:r>
    </w:p>
    <w:p>
      <w:pPr>
        <w:spacing w:after="90" w:before="0" w:line="360" w:lineRule="auto"/>
      </w:pPr>
      <w:r>
        <w:t xml:space="preserve">Zu Beginn des Projekts wurden die Anforderungen aus dem DOIT-Leitfaden analysiert und auf den Krankenhauskontext übertragen. Folgende Kernfragen wurden geklärt: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t xml:space="preserve">Welche Materialarten werden verwaltet? (Verbandsmaterial, Injektionsmaterial, Schutzausrüstung)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t xml:space="preserve">Welche Stationen gibt es? (Station 1, OP, ICU, Zentrallager)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t xml:space="preserve">Wie wird der Mindestbestand definiert und überwacht?</w:t>
      </w:r>
    </w:p>
    <w:p>
      <w:pPr>
        <w:pStyle w:val="ListParagraph"/>
        <w:numPr>
          <w:ilvl w:val="0"/>
          <w:numId w:val="2"/>
        </w:numPr>
        <w:spacing w:after="40" w:line="360" w:lineRule="auto"/>
      </w:pPr>
      <w:r>
        <w:t xml:space="preserve">Welche Benutzerrollen sind vorgesehen? (Einzelbenutzer, kein Login in v1)</w:t>
      </w:r>
    </w:p>
    <w:p>
      <w:pPr>
        <w:pStyle w:val="Heading3"/>
      </w:pPr>
      <w:r>
        <w:t xml:space="preserve">3.1.2  Datenbankdesign &amp; ER-Diagramm</w:t>
      </w:r>
    </w:p>
    <w:p>
      <w:pPr>
        <w:spacing w:after="90" w:before="0" w:line="360" w:lineRule="auto"/>
      </w:pPr>
      <w:r>
        <w:t xml:space="preserve">Das Datenbankschema wurde auf Basis der Anforderungen in 6 normalisierten Tabellen (3NF) modelliert. Das vollständige ER-Diagramm befindet sich in Anhang A.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72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Tabelle</w:t>
            </w:r>
          </w:p>
        </w:tc>
        <w:tc>
          <w:tcPr>
            <w:tcW w:type="dxa" w:w="6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Zweck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kategorien</w:t>
            </w:r>
          </w:p>
        </w:tc>
        <w:tc>
          <w:tcPr>
            <w:tcW w:type="dxa" w:w="6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Materialgruppen (z. B. Verbandsmaterial, Injektionsmaterial)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lieferanten</w:t>
            </w:r>
          </w:p>
        </w:tc>
        <w:tc>
          <w:tcPr>
            <w:tcW w:type="dxa" w:w="6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Medizinische Lieferanten mit Kontaktdaten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stationslager</w:t>
            </w:r>
          </w:p>
        </w:tc>
        <w:tc>
          <w:tcPr>
            <w:tcW w:type="dxa" w:w="6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Stationen und Lagerorte im Krankenhaus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materialien</w:t>
            </w:r>
          </w:p>
        </w:tc>
        <w:tc>
          <w:tcPr>
            <w:tcW w:type="dxa" w:w="6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Kernentität: Stammdaten aller Verbrauchsmaterialien mit Mindestbestand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bestellungen</w:t>
            </w:r>
          </w:p>
        </w:tc>
        <w:tc>
          <w:tcPr>
            <w:tcW w:type="dxa" w:w="6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Bestellhistorie mit Status und Lieferdatum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bestandsbewegungen</w:t>
            </w:r>
          </w:p>
        </w:tc>
        <w:tc>
          <w:tcPr>
            <w:tcW w:type="dxa" w:w="64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Buchungshistorie (EINGANG/AUSGANG); Bestand wird daraus berechnet</w:t>
            </w:r>
          </w:p>
        </w:tc>
      </w:tr>
    </w:tbl>
    <w:p>
      <w:pPr>
        <w:pStyle w:val="Heading2"/>
      </w:pPr>
      <w:r>
        <w:t xml:space="preserve">3.2  Phase 2: Datenbankimplementierung (20 Stunden)</w:t>
      </w:r>
    </w:p>
    <w:p>
      <w:pPr>
        <w:pStyle w:val="Heading3"/>
      </w:pPr>
      <w:r>
        <w:t xml:space="preserve">3.2.1  SQL-Datenbankschema</w:t>
      </w:r>
    </w:p>
    <w:p>
      <w:pPr>
        <w:spacing w:after="90" w:before="0" w:line="360" w:lineRule="auto"/>
      </w:pPr>
      <w:r>
        <w:t xml:space="preserve">Das SQL-CREATE-Skript wurde für alle 6 Tabellen mit Primärschlüsseln, Fremdschlüsseln und referenzieller Integrität erstellt. Beispiel für die Haupttabelle:</w:t>
      </w:r>
    </w:p>
    <w:p>
      <w:pPr>
        <w:spacing w:after="0" w:before="6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CREATE TABLE materialien (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material_id    INT AUTO_INCREMENT PRIMARY KEY,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name           VARCHAR(150) NOT NULL,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einheit        VARCHAR(30)  NOT NULL,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mindestbestand INT NOT NULL DEFAULT 0,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kategorie_id   INT NOT NULL,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FOREIGN KEY (kategorie_id) REFERENCES kategorien(kategorie_id)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);</w:t>
      </w:r>
    </w:p>
    <w:p>
      <w:pPr>
        <w:spacing w:after="90" w:before="80" w:line="360" w:lineRule="auto"/>
      </w:pPr>
      <w:r>
        <w:t xml:space="preserve">Der Bestand wird nicht in materialien gespeichert, sondern dynamisch aus bestandsbewegungen berechnet: SUM(EINGANG) − SUM(AUSGANG). Dies gewährleistet eine lückenlose, unveränderliche Buchungshistorie.</w:t>
      </w:r>
    </w:p>
    <w:p>
      <w:pPr>
        <w:pStyle w:val="Heading3"/>
      </w:pPr>
      <w:r>
        <w:t xml:space="preserve">3.2.2  JDBC-Verbindung (Singleton)</w:t>
      </w:r>
    </w:p>
    <w:p>
      <w:pPr>
        <w:spacing w:after="90" w:before="0" w:line="360" w:lineRule="auto"/>
      </w:pPr>
      <w:r>
        <w:t xml:space="preserve">Die Datenbankverbindung wurde als Singleton-Klasse implementiert, um eine einzige, wiederverwendbare Verbindung sicherzustellen:</w:t>
      </w:r>
    </w:p>
    <w:p>
      <w:pPr>
        <w:spacing w:after="0" w:before="6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public class DBConnection {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private static Connection conn = null;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public static Connection getConnection() throws SQLException {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if (conn == null || conn.isClosed())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conn = DriverManager.getConnection(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"jdbc:mysql://localhost:3324/krankenhaus_lager", "root", "");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return conn;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}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}</w:t>
      </w:r>
    </w:p>
    <w:p>
      <w:pPr>
        <w:pStyle w:val="Heading2"/>
      </w:pPr>
      <w:r>
        <w:t xml:space="preserve">3.3  Phase 3: DAO-Schicht &amp; Model-Klassen (20 Stunden)</w:t>
      </w:r>
    </w:p>
    <w:p>
      <w:pPr>
        <w:pStyle w:val="Heading3"/>
      </w:pPr>
      <w:r>
        <w:t xml:space="preserve">3.3.1  MVC-Architektur</w:t>
      </w:r>
    </w:p>
    <w:p>
      <w:pPr>
        <w:spacing w:after="90" w:before="0" w:line="360" w:lineRule="auto"/>
      </w:pPr>
      <w:r>
        <w:t xml:space="preserve">Die Anwendung folgt dem Model-View-Controller (MVC)-Entwurfsmuster mit einer zusätzlichen DAO-Schicht für den Datenbankzugriff: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Schicht</w:t>
            </w:r>
          </w:p>
        </w:tc>
        <w:tc>
          <w:tcPr>
            <w:tcW w:type="dxa" w:w="7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Inhalt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Model</w:t>
            </w:r>
          </w:p>
        </w:tc>
        <w:tc>
          <w:tcPr>
            <w:tcW w:type="dxa" w:w="7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Java-Klassen: Material, Kategorie, Lieferant, Stationslager, Bestellung, Bestandsbewegung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View</w:t>
            </w:r>
          </w:p>
        </w:tc>
        <w:tc>
          <w:tcPr>
            <w:tcW w:type="dxa" w:w="7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JavaFX-FXML-Layout (main.fxml): Hauptfenster mit Registerkarten je Entität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Controller</w:t>
            </w:r>
          </w:p>
        </w:tc>
        <w:tc>
          <w:tcPr>
            <w:tcW w:type="dxa" w:w="7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MainController: steuert UI-Logik und delegiert an die DAO-Schicht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DAO-Schicht</w:t>
            </w:r>
          </w:p>
        </w:tc>
        <w:tc>
          <w:tcPr>
            <w:tcW w:type="dxa" w:w="70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MaterialDAO, KategorieDAO, LieferantDAO, StationslagerDAO, BestellungDAO, BestandsbewegungDAO</w:t>
            </w:r>
          </w:p>
        </w:tc>
      </w:tr>
    </w:tbl>
    <w:p>
      <w:pPr>
        <w:pStyle w:val="Heading3"/>
      </w:pPr>
      <w:r>
        <w:t xml:space="preserve">3.3.2  DAO-Implementierung (Beispiel: MaterialDAO)</w:t>
      </w:r>
    </w:p>
    <w:p>
      <w:pPr>
        <w:spacing w:after="90" w:before="0" w:line="360" w:lineRule="auto"/>
      </w:pPr>
      <w:r>
        <w:t xml:space="preserve">Jede DAO-Klasse implementiert die CRUD-Operationen. Lesende Zugriffe nutzen findAll(); schreibende Zugriffe verwenden PreparedStatements, um SQL-Injection zu verhindern:</w:t>
      </w:r>
    </w:p>
    <w:p>
      <w:pPr>
        <w:spacing w:after="0" w:before="6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public class MaterialDAO {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public List&lt;Material&gt; findAll() throws SQLException {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List&lt;Material&gt; list = new ArrayList&lt;&gt;();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String sql = "SELECT m.*, k.name AS kat_name"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+ " FROM materialien m"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+ " JOIN kategorien k ON m.kategorie_id = k.kategorie_id";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ResultSet rs = DBConnection.getConnection()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.createStatement().executeQuery(sql);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while (rs.next()) { list.add(mapRow(rs)); }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return list;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}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public void create(Material m) throws SQLException {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String sql = "INSERT INTO materialien (name,einheit,"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+ "mindestbestand,kategorie_id) VALUES (?,?,?,?)";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PreparedStatement ps = DBConnection.getConnection()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               .prepareStatement(sql);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ps.setString(1, m.getName());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ps.setString(2, m.getEinheit());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ps.setInt(3, m.getMindestbestand());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ps.setInt(4, m.getKategorieId());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ps.executeUpdate();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}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}</w:t>
      </w:r>
    </w:p>
    <w:p>
      <w:pPr>
        <w:pStyle w:val="Heading2"/>
      </w:pPr>
      <w:r>
        <w:t xml:space="preserve">3.4  Phase 4: UI-Grundfunktionen (40 Stunden)</w:t>
      </w:r>
    </w:p>
    <w:p>
      <w:pPr>
        <w:pStyle w:val="Heading3"/>
      </w:pPr>
      <w:r>
        <w:t xml:space="preserve">3.4.1  Hauptfenster &amp; Navigation</w:t>
      </w:r>
    </w:p>
    <w:p>
      <w:pPr>
        <w:spacing w:after="90" w:before="0" w:line="360" w:lineRule="auto"/>
      </w:pPr>
      <w:r>
        <w:t xml:space="preserve">Das Hauptfenster wurde mit einem TabPane realisiert. Die Kernmodule (Materialien, Kategorien, Stationslager) wurden zuerst vollständig umgesetzt, bevor die optionalen Module (Lieferanten, Bestellungen, Buchungshistorie) angegangen wurden. Navigation: Registerkarten oben, CRUD-Schaltflächen rechts, Suchfeld oben.</w:t>
      </w:r>
    </w:p>
    <w:p>
      <w:pPr>
        <w:pStyle w:val="Heading3"/>
      </w:pPr>
      <w:r>
        <w:t xml:space="preserve">3.4.2  Materialien-Maske (CRUD)</w:t>
      </w:r>
    </w:p>
    <w:p>
      <w:pPr>
        <w:spacing w:after="90" w:before="0" w:line="360" w:lineRule="auto"/>
      </w:pPr>
      <w:r>
        <w:t xml:space="preserve">Die Material-Übersichtsmaske enthält eine JavaFX TableView mit den Spalten Name, Einheit, Bestand (berechnet aus bestandsbewegungen), Mindestbestand und Kategorie. Über die Schaltflächen Neu, Bearbeiten und Löschen werden Datensätze in einem Dialog-Formular angelegt, geändert und gelöscht. Das vollständige CRUD wurde für alle sechs Entitäten umgesetzt.</w:t>
      </w:r>
    </w:p>
    <w:p>
      <w:pPr>
        <w:pStyle w:val="Heading2"/>
      </w:pPr>
      <w:r>
        <w:t xml:space="preserve">3.5  Phase 5: UI Erweiterte Funktionen (25 Stunden)</w:t>
      </w:r>
    </w:p>
    <w:p>
      <w:pPr>
        <w:pStyle w:val="Heading3"/>
      </w:pPr>
      <w:r>
        <w:t xml:space="preserve">3.5.1  Mindestbestand-Warnung</w:t>
      </w:r>
    </w:p>
    <w:p>
      <w:pPr>
        <w:spacing w:after="90" w:before="0" w:line="360" w:lineRule="auto"/>
      </w:pPr>
      <w:r>
        <w:t xml:space="preserve">Zeilen, bei denen der Bestand kleiner oder gleich dem Mindestbestand ist, werden über eine RowFactory rot markiert:</w:t>
      </w:r>
    </w:p>
    <w:p>
      <w:pPr>
        <w:spacing w:after="0" w:before="6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tableView.setRowFactory(tv -&gt; new TableRow&lt;Material&gt;() {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@Override protected void updateItem(Material item, boolean empty) {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super.updateItem(item, empty);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getStyleClass().remove("low-stock");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if (item != null &amp;&amp; item.isWarnung()) getStyleClass().add("low-stock");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}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}); // CSS: .low-stock { -fx-background-color: #FFCCCC; }</w:t>
      </w:r>
    </w:p>
    <w:p>
      <w:pPr>
        <w:pStyle w:val="Heading3"/>
      </w:pPr>
      <w:r>
        <w:t xml:space="preserve">3.5.2  Such- und Filterfunktion</w:t>
      </w:r>
    </w:p>
    <w:p>
      <w:pPr>
        <w:spacing w:after="90" w:before="80" w:line="360" w:lineRule="auto"/>
      </w:pPr>
      <w:r>
        <w:t xml:space="preserve">Die Suchfunktion verwendet eine JavaFX FilteredList mit einem ChangeListener auf dem Suchfeld. Gleichzeitig kann nach Station und Kategorie gefiltert werden. Die Filterung arbeitet auf der berechneten Bestandssicht (BestandView):</w:t>
      </w:r>
    </w:p>
    <w:p>
      <w:pPr>
        <w:spacing w:after="0" w:before="6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FilteredList&lt;BestandView&gt; filtered = new FilteredList&lt;&gt;(masterList, p -&gt; true);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searchField.textProperty().addListener((obs, alt, neu) -&gt;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filtered.setPredicate(v -&gt;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v.getMaterialName().toLowerCase().contains(neu.toLowerCase())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&amp;&amp; (stationBox.getValue() == null || v.getLagerName().equals(stationBox.getValue().getName()))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&amp;&amp; (katBox.getValue() == null || v.getKategorieName().equals(katBox.getValue().getName()))));</w:t>
      </w:r>
    </w:p>
    <w:p>
      <w:pPr>
        <w:pStyle w:val="Heading3"/>
      </w:pPr>
      <w:r>
        <w:t xml:space="preserve">3.5.3  Automatische Bestandsbuchung bei Lieferung</w:t>
      </w:r>
    </w:p>
    <w:p>
      <w:pPr>
        <w:spacing w:after="90" w:before="0" w:line="360" w:lineRule="auto"/>
      </w:pPr>
      <w:r>
        <w:t xml:space="preserve">Beim Statuswechsel einer Bestellung auf „geliefert“ wird automatisch eine EINGANG-Buchung in bestandsbewegungen angelegt. Der Nutzer muss die Buchung nicht manuell anstoßen:</w:t>
      </w:r>
    </w:p>
    <w:p>
      <w:pPr>
        <w:spacing w:after="0" w:before="6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public void updateStatus(Bestellung b) throws SQLException {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// 1. Bestellstatus + Lieferdatum aktualisieren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String sql = "UPDATE bestellungen SET status=?,lieferdatum=? "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       + "WHERE bestell_id=?";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PreparedStatement ps = DBConnection.getConnection().prepareStatement(sql);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ps.setString(1, b.getStatus()); ps.setDate(2, b.getLieferdatum());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ps.setInt(3, b.getId()); ps.executeUpdate();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if ("geliefert".equalsIgnoreCase(b.getStatus())) {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// 2. Automatisch EINGANG-Buchung anlegen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String insBew = "INSERT INTO bestandsbewegungen "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+ "(material_id,lager_id,bewegungstyp,menge,datum,bemerkung) "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  + "VALUES (?,?,'EINGANG',?,NOW(),?)";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PreparedStatement psB = DBConnection.getConnection().prepareStatement(insBew);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psB.setInt(1, b.getMaterialId()); psB.setInt(2, b.getLagerId());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psB.setInt(3, b.getMenge());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psB.setString(4, "Automatisch - Lieferung Bestellung #" + b.getId());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  psB.executeUpdate();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  }</w:t>
      </w:r>
    </w:p>
    <w:p>
      <w:pPr>
        <w:spacing w:after="0" w:before="0" w:line="360" w:lineRule="auto"/>
      </w:pPr>
      <w:r>
        <w:rPr>
          <w:rFonts w:ascii="Courier New" w:cs="Courier New" w:eastAsia="Courier New" w:hAnsi="Courier New"/>
          <w:color w:val="1F497D"/>
          <w:sz w:val="18"/>
          <w:szCs w:val="18"/>
        </w:rPr>
        <w:t xml:space="preserve">}</w:t>
      </w:r>
    </w:p>
    <w:p>
      <w:pPr>
        <w:pStyle w:val="Heading2"/>
      </w:pPr>
      <w:r>
        <w:t xml:space="preserve">3.6  Phase 6: Tests &amp; Fehlerbehebung (25 Stunden)</w:t>
      </w:r>
    </w:p>
    <w:p>
      <w:pPr>
        <w:pStyle w:val="Heading3"/>
      </w:pPr>
      <w:r>
        <w:t xml:space="preserve">3.6.1  Testfälle</w:t>
      </w:r>
    </w:p>
    <w:p>
      <w:pPr>
        <w:spacing w:after="90" w:before="0" w:line="360" w:lineRule="auto"/>
      </w:pPr>
      <w:r>
        <w:t xml:space="preserve">Zur systematischen Qualitätssicherung wurden zehn Testfälle definiert, die alle Pflicht- und Zusatzanforderungen abdecken:</w:t>
      </w:r>
    </w:p>
    <w:p>
      <w:pPr>
        <w:spacing w:after="80" w:before="80" w:line="360" w:lineRule="auto"/>
      </w:pPr>
      <w:r>
        <w:rPr>
          <w:i/>
          <w:iCs/>
          <w:color w:val="888888"/>
        </w:rPr>
        <w:t xml:space="preserve">Vorläufiger Stand (07.06.2026): Die Spalte „Status“ wird in der Testphase (Phase 6, KW25–KW26) mit den tatsächlichen Ergebnissen befüllt; die Auswertung erfolgt in Kapitel 4.2.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300"/>
        <w:gridCol w:w="3372"/>
        <w:gridCol w:w="1100"/>
        <w:gridCol w:w="1600"/>
      </w:tblGrid>
      <w:tr>
        <w:trPr>
          <w:tblHeader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Testfall</w:t>
            </w:r>
          </w:p>
        </w:tc>
        <w:tc>
          <w:tcPr>
            <w:tcW w:type="dxa" w:w="33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Erwartetes Ergebnis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Priorität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T1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Material anlegen</w:t>
            </w:r>
          </w:p>
        </w:tc>
        <w:tc>
          <w:tcPr>
            <w:tcW w:type="dxa" w:w="33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Material erscheint in Tabelle, DB-Eintrag vorhanden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Hoch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offen (Phase 6)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T2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Material bearbeiten</w:t>
            </w:r>
          </w:p>
        </w:tc>
        <w:tc>
          <w:tcPr>
            <w:tcW w:type="dxa" w:w="33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Geänderte Werte in Tabelle und DB übernommen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Hoch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offen (Phase 6)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T3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Material löschen</w:t>
            </w:r>
          </w:p>
        </w:tc>
        <w:tc>
          <w:tcPr>
            <w:tcW w:type="dxa" w:w="33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Material aus Tabelle und DB entfernt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Hoch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offen (Phase 6)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T4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Mindestbestand-Warnung</w:t>
            </w:r>
          </w:p>
        </w:tc>
        <w:tc>
          <w:tcPr>
            <w:tcW w:type="dxa" w:w="33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Zeile wird rot markiert, wenn Bestand ≤ Mindestbestand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Hoch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offen (Phase 6)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T5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Suche nach Name</w:t>
            </w:r>
          </w:p>
        </w:tc>
        <w:tc>
          <w:tcPr>
            <w:tcW w:type="dxa" w:w="33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Tabelle filtert live beim Tippen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Mittel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offen (Phase 6)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T6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Filter nach Station</w:t>
            </w:r>
          </w:p>
        </w:tc>
        <w:tc>
          <w:tcPr>
            <w:tcW w:type="dxa" w:w="33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Nur Materialien der gewählten Station angezeigt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Mittel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offen (Phase 6)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T7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AUSGANG manuell buchen</w:t>
            </w:r>
          </w:p>
        </w:tc>
        <w:tc>
          <w:tcPr>
            <w:tcW w:type="dxa" w:w="33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Bestand verringert, AUSGANG-Buchung in Historie sichtbar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Hoch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offen (Phase 6)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T8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Bestellstatus -&gt; geliefert</w:t>
            </w:r>
          </w:p>
        </w:tc>
        <w:tc>
          <w:tcPr>
            <w:tcW w:type="dxa" w:w="33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EINGANG-Buchung automatisch erstellt, Bestand erhöht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Mittel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offen (Phase 6)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T9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Umlagerung zwischen Lagern</w:t>
            </w:r>
          </w:p>
        </w:tc>
        <w:tc>
          <w:tcPr>
            <w:tcW w:type="dxa" w:w="33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AUSGANG + EINGANG-Doppelbuchung korrekt verbucht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Mittel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offen (Phase 6)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T10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Pflichtfeld leer lassen</w:t>
            </w:r>
          </w:p>
        </w:tc>
        <w:tc>
          <w:tcPr>
            <w:tcW w:type="dxa" w:w="33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Fehlermeldung erscheint, kein DB-Insert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Hoch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offen (Phase 6)</w:t>
            </w:r>
          </w:p>
        </w:tc>
      </w:tr>
    </w:tbl>
    <w:p>
      <w:pPr>
        <w:pStyle w:val="Heading3"/>
      </w:pPr>
      <w:r>
        <w:t xml:space="preserve">3.6.2  Herausforderungen &amp; behobene Fehler</w:t>
      </w:r>
    </w:p>
    <w:p>
      <w:pPr>
        <w:spacing w:after="90" w:before="0" w:line="360" w:lineRule="auto"/>
      </w:pPr>
      <w:r>
        <w:t xml:space="preserve">Während der Implementierung wurden mehrere Fehler identifiziert und behoben (Quelle: Projekttagebuch): In der BestandsbewegungDAO war der Primärschlüssel im SQL als „bestandsbewegung_id“ statt „bewegung_id“ benannt, was zu einer SQLException führte (an fünf Stellen korrigiert). In der DBConnection verwies die JDBC-URL auf den falschen Datenbanknamen „DOIT“ statt „krankenhaus_lager“; zudem war zeitweise ein falscher Port gesetzt (korrigiert auf 3324, lokale MySQL-Instanz). Schließlich enthielt das ENUM BewegungsTyp den Wert „TRANSFER“, der im SQL-Schema nicht existierte und INSERT-Fehler verursachte – er wurde entfernt; die Umlagerung wird stattdessen als EINGANG/AUSGANG-Doppelbuchung umgesetzt.</w:t>
      </w:r>
    </w:p>
    <w:p>
      <w:pPr>
        <w:pStyle w:val="Heading2"/>
      </w:pPr>
      <w:r>
        <w:t xml:space="preserve">3.7  Phase 7: Dokumentation &amp; Abschluss (30 Stunden)</w:t>
      </w:r>
    </w:p>
    <w:p>
      <w:pPr>
        <w:spacing w:after="90" w:before="0" w:line="360" w:lineRule="auto"/>
      </w:pPr>
      <w:r>
        <w:t xml:space="preserve">In der Abschlussphase werden das Benutzerhandbuch (Anhang C) und die vorliegende Projektdokumentation erstellt. Dazu gehören das Zusammenführen der Einzelteile, das Erstellen der Verzeichnisse (Abbildungen, Tabellen, Quellen), die Formatprüfung gemäß den SRH-Dokumentationsvorgaben sowie die Erzeugung der PDF-Datei und der Upload in Moodle bis zum 17.07.2026.</w:t>
      </w:r>
    </w:p>
    <w:p>
      <w:pPr>
        <w:pStyle w:val="Heading2"/>
      </w:pPr>
      <w:r>
        <w:t xml:space="preserve">3.8  Abweichungen, Anpassungen, Entscheidungen</w:t>
      </w:r>
    </w:p>
    <w:p>
      <w:pPr>
        <w:spacing w:after="90" w:before="0" w:line="360" w:lineRule="auto"/>
      </w:pPr>
      <w:r>
        <w:t xml:space="preserve">Die folgenden wesentlichen Designentscheidungen und Abweichungen vom ursprünglichen Plan wurden während der Durchführung getroffen und dokumentiert: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3672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Phase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Entscheidung / Abweichung</w:t>
            </w:r>
          </w:p>
        </w:tc>
        <w:tc>
          <w:tcPr>
            <w:tcW w:type="dxa" w:w="3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/>
                <w:bCs/>
              </w:rPr>
              <w:t xml:space="preserve">Begründung / Auswirkung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Phase 1–2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Bestand wird nicht als Feld in materialien gespeichert, sondern aus bestandsbewegungen berechnet (SUM EINGANG − AUSGANG)</w:t>
            </w:r>
          </w:p>
        </w:tc>
        <w:tc>
          <w:tcPr>
            <w:tcW w:type="dxa" w:w="3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Kein doppelter Datenstand; lückenlose, prüfbare Buchungshistorie (Entscheidung D-001)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Phase 5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Zusätzliches Feature „Umlagerung“ zwischen Lagern (nicht im Antrag vorgesehen)</w:t>
            </w:r>
          </w:p>
        </w:tc>
        <w:tc>
          <w:tcPr>
            <w:tcW w:type="dxa" w:w="3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Praxisnaher Krankenhaus-Workflow; technisch als EINGANG/AUSGANG-Doppelbuchung umgesetzt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Phase 4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Kein Login-/Rollensystem implementiert</w:t>
            </w:r>
          </w:p>
        </w:tc>
        <w:tc>
          <w:tcPr>
            <w:tcW w:type="dxa" w:w="36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360" w:lineRule="auto"/>
            </w:pPr>
            <w:r>
              <w:rPr>
                <w:b w:val="false"/>
                <w:bCs w:val="false"/>
              </w:rPr>
              <w:t xml:space="preserve">Priorisierung der Kernanforderungen; Login hätte den Zeitrahmen überschritten (optionale Erweiterung)</w:t>
            </w:r>
          </w:p>
        </w:tc>
      </w:tr>
    </w:tbl>
    <w:sectPr>
      <w:footerReference w:type="default" r:id="rId7"/>
      <w:pgSz w:w="11906" w:h="16838" w:orient="portrait"/>
      <w:pgMar w:top="1418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Sascha Schulz – Projektdokumentation – Seite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after="8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 w:line="360" w:lineRule="auto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90" w:before="180" w:line="360" w:lineRule="auto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70" w:before="140" w:line="360" w:lineRule="auto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2026-06-07T18:58:36.058Z</dcterms:created>
  <dcterms:modified xsi:type="dcterms:W3CDTF">2026-06-07T18:58:36.058Z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