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CB83" w14:textId="5D7BAFCD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3F6BE8D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=νN-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</w:rPr>
            <m:t>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-μS</m:t>
          </m:r>
        </m:oMath>
      </m:oMathPara>
    </w:p>
    <w:p w14:paraId="1DFFDBDD" w14:textId="02049231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t>t: Zeit,</w:t>
      </w:r>
      <w:r>
        <w:rPr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ν</w:t>
      </w:r>
      <w:r>
        <w:rPr>
          <w:sz w:val="20"/>
          <w:szCs w:val="20"/>
        </w:rPr>
        <w:t>: Geburtsrate, N: Gesamtbevölkerung,</w:t>
      </w:r>
      <w:r w:rsidR="00352C7F">
        <w:rPr>
          <w:sz w:val="20"/>
          <w:szCs w:val="20"/>
        </w:rPr>
        <w:t xml:space="preserve">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Tötungswahrscheinlichkeit,</w:t>
      </w:r>
      <w:r w:rsidR="004017E4">
        <w:rPr>
          <w:sz w:val="20"/>
          <w:szCs w:val="20"/>
        </w:rPr>
        <w:t xml:space="preserve"> </w:t>
      </w:r>
      <w:r w:rsidR="0038319D">
        <w:rPr>
          <w:rFonts w:cstheme="minorHAnsi"/>
          <w:sz w:val="20"/>
          <w:szCs w:val="20"/>
        </w:rPr>
        <w:t>μ</w:t>
      </w:r>
      <w:r w:rsidR="0038319D">
        <w:rPr>
          <w:sz w:val="20"/>
          <w:szCs w:val="20"/>
        </w:rPr>
        <w:t xml:space="preserve">: </w:t>
      </w:r>
      <w:r w:rsidR="00A01F0C">
        <w:rPr>
          <w:sz w:val="20"/>
          <w:szCs w:val="20"/>
        </w:rPr>
        <w:t xml:space="preserve">allgemeine </w:t>
      </w:r>
      <w:r w:rsidR="0038319D">
        <w:rPr>
          <w:sz w:val="20"/>
          <w:szCs w:val="20"/>
        </w:rPr>
        <w:t>Sterberate</w:t>
      </w:r>
    </w:p>
    <w:p w14:paraId="0466FDEA" w14:textId="5AC8F7A3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-γI-μI</m:t>
          </m:r>
        </m:oMath>
      </m:oMathPara>
    </w:p>
    <w:p w14:paraId="5691EC3F" w14:textId="075E6DFE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t xml:space="preserve">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38319D">
        <w:rPr>
          <w:sz w:val="20"/>
          <w:szCs w:val="20"/>
        </w:rPr>
        <w:t xml:space="preserve">N: Gesamtbevölkerung,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 xml:space="preserve">: Zombietötungsrate durch Menschen,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p w14:paraId="1AC449CD" w14:textId="04DC775A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+γI+μS+μI</m:t>
          </m:r>
        </m:oMath>
      </m:oMathPara>
    </w:p>
    <w:p w14:paraId="06E288B2" w14:textId="7154E1C7" w:rsidR="00171BFD" w:rsidRPr="00171BFD" w:rsidRDefault="0008516E" w:rsidP="00171BFD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>, N: Gesamtbevölkerung,</w:t>
      </w:r>
      <w:r w:rsidR="003F3304">
        <w:rPr>
          <w:rFonts w:cstheme="minorHAnsi"/>
          <w:sz w:val="20"/>
          <w:szCs w:val="20"/>
        </w:rPr>
        <w:t xml:space="preserve">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 xml:space="preserve">: Zombietötungsrate durch Menschen,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sectPr w:rsidR="00171BFD" w:rsidRPr="0017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32256F"/>
    <w:rsid w:val="00352C7F"/>
    <w:rsid w:val="0038319D"/>
    <w:rsid w:val="003B16E3"/>
    <w:rsid w:val="003F3304"/>
    <w:rsid w:val="004017E4"/>
    <w:rsid w:val="00427919"/>
    <w:rsid w:val="006B43FF"/>
    <w:rsid w:val="00943459"/>
    <w:rsid w:val="009B53A9"/>
    <w:rsid w:val="009D28BE"/>
    <w:rsid w:val="00A01F0C"/>
    <w:rsid w:val="00C1792B"/>
    <w:rsid w:val="00CE1E10"/>
    <w:rsid w:val="00DC2B18"/>
    <w:rsid w:val="00EE018E"/>
    <w:rsid w:val="00F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11</cp:revision>
  <dcterms:created xsi:type="dcterms:W3CDTF">2024-08-21T07:37:00Z</dcterms:created>
  <dcterms:modified xsi:type="dcterms:W3CDTF">2024-08-21T12:23:00Z</dcterms:modified>
</cp:coreProperties>
</file>