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Текст выступления на защите ВКР</w:t>
      </w:r>
    </w:p>
    <w:p>
      <w:pPr>
        <w:jc w:val="center"/>
      </w:pPr>
      <w:r>
        <w:rPr>
          <w:rFonts w:ascii="Times New Roman" w:hAnsi="Times New Roman"/>
          <w:i/>
          <w:sz w:val="26"/>
        </w:rPr>
        <w:t>Тема: «Моделирование и анализ бизнес-процессов в образовательной организации»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Регламент: 5 минут | ~720 слов | темп ~150 слов/мин</w:t>
      </w:r>
    </w:p>
    <w:p/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1 — Титульный (пауза 2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Добрый день, уважаемая комиссия!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2 — Актуальность (~30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Тема моей работы продиктована тремя обстоятельствами.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Во-первых</w:t>
      </w:r>
      <w:r>
        <w:rPr>
          <w:rFonts w:ascii="Times New Roman" w:hAnsi="Times New Roman"/>
          <w:b w:val="0"/>
          <w:sz w:val="28"/>
        </w:rPr>
        <w:t xml:space="preserve">, нормативное давление: согласно Распоряжению Правительства № 3759-р, к 2030 году </w:t>
      </w:r>
      <w:r>
        <w:rPr>
          <w:rFonts w:ascii="Times New Roman" w:hAnsi="Times New Roman"/>
          <w:b/>
          <w:sz w:val="28"/>
        </w:rPr>
        <w:t>95 %</w:t>
      </w:r>
      <w:r>
        <w:rPr>
          <w:rFonts w:ascii="Times New Roman" w:hAnsi="Times New Roman"/>
          <w:b w:val="0"/>
          <w:sz w:val="28"/>
        </w:rPr>
        <w:t xml:space="preserve"> управленческих процессов вузов должны быть переведены в электронный вид.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Во-вторых</w:t>
      </w:r>
      <w:r>
        <w:rPr>
          <w:rFonts w:ascii="Times New Roman" w:hAnsi="Times New Roman"/>
          <w:b w:val="0"/>
          <w:sz w:val="28"/>
        </w:rPr>
        <w:t xml:space="preserve">, низкая зрелость отрасли: по данным НИУ ВШЭ, </w:t>
      </w:r>
      <w:r>
        <w:rPr>
          <w:rFonts w:ascii="Times New Roman" w:hAnsi="Times New Roman"/>
          <w:b/>
          <w:sz w:val="28"/>
        </w:rPr>
        <w:t>29 %</w:t>
      </w:r>
      <w:r>
        <w:rPr>
          <w:rFonts w:ascii="Times New Roman" w:hAnsi="Times New Roman"/>
          <w:b w:val="0"/>
          <w:sz w:val="28"/>
        </w:rPr>
        <w:t xml:space="preserve"> российских вузов относятся к «цифровым аутсайдерам», и только 23 % — к лидерам.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В-третьих</w:t>
      </w:r>
      <w:r>
        <w:rPr>
          <w:rFonts w:ascii="Times New Roman" w:hAnsi="Times New Roman"/>
          <w:b w:val="0"/>
          <w:sz w:val="28"/>
        </w:rPr>
        <w:t xml:space="preserve">, кадровый барьер: </w:t>
      </w:r>
      <w:r>
        <w:rPr>
          <w:rFonts w:ascii="Times New Roman" w:hAnsi="Times New Roman"/>
          <w:b/>
          <w:sz w:val="28"/>
        </w:rPr>
        <w:t>64 %</w:t>
      </w:r>
      <w:r>
        <w:rPr>
          <w:rFonts w:ascii="Times New Roman" w:hAnsi="Times New Roman"/>
          <w:b w:val="0"/>
          <w:sz w:val="28"/>
        </w:rPr>
        <w:t xml:space="preserve"> вузов главным препятствием цифровизации называют дефицит ИТ-кадров, ещё 52 % — нехватку финансирования.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Совокупность этих факторов предопределила необходимость моделирования и анализа бизнес-процессов в образовательной организации.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3 — Цель и задачи (~25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Актуальность позволила определить </w:t>
      </w:r>
      <w:r>
        <w:rPr>
          <w:rFonts w:ascii="Times New Roman" w:hAnsi="Times New Roman"/>
          <w:b/>
          <w:sz w:val="28"/>
        </w:rPr>
        <w:t>цель исследования</w:t>
      </w:r>
      <w:r>
        <w:rPr>
          <w:rFonts w:ascii="Times New Roman" w:hAnsi="Times New Roman"/>
          <w:b w:val="0"/>
          <w:sz w:val="28"/>
        </w:rPr>
        <w:t>, которая заключается в изучении теоретических основ моделирования и анализа бизнес-процессов и их практическом применении в деятельности структурных подразделений Казанского федерального университета — Дирекции музеев, Центра развития кадрового потенциала и Управления документооборота.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Задачи исследования представлены на слайде.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4 — Глава 1. Теоретические основы (~30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В рамках первой главы был сформирован </w:t>
      </w:r>
      <w:r>
        <w:rPr>
          <w:rFonts w:ascii="Times New Roman" w:hAnsi="Times New Roman"/>
          <w:b/>
          <w:sz w:val="28"/>
        </w:rPr>
        <w:t>трёхуровневый методический стек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На стратегическом уровне применяется нотация </w:t>
      </w:r>
      <w:r>
        <w:rPr>
          <w:rFonts w:ascii="Times New Roman" w:hAnsi="Times New Roman"/>
          <w:b/>
          <w:sz w:val="28"/>
        </w:rPr>
        <w:t>IDEF0</w:t>
      </w:r>
      <w:r>
        <w:rPr>
          <w:rFonts w:ascii="Times New Roman" w:hAnsi="Times New Roman"/>
          <w:b w:val="0"/>
          <w:sz w:val="28"/>
        </w:rPr>
        <w:t xml:space="preserve">, на операционном — </w:t>
      </w:r>
      <w:r>
        <w:rPr>
          <w:rFonts w:ascii="Times New Roman" w:hAnsi="Times New Roman"/>
          <w:b/>
          <w:sz w:val="28"/>
        </w:rPr>
        <w:t>BPMN 2.0</w:t>
      </w:r>
      <w:r>
        <w:rPr>
          <w:rFonts w:ascii="Times New Roman" w:hAnsi="Times New Roman"/>
          <w:b w:val="0"/>
          <w:sz w:val="28"/>
        </w:rPr>
        <w:t xml:space="preserve">, на детальном — </w:t>
      </w:r>
      <w:r>
        <w:rPr>
          <w:rFonts w:ascii="Times New Roman" w:hAnsi="Times New Roman"/>
          <w:b/>
          <w:sz w:val="28"/>
        </w:rPr>
        <w:t>EPC</w:t>
      </w:r>
      <w:r>
        <w:rPr>
          <w:rFonts w:ascii="Times New Roman" w:hAnsi="Times New Roman"/>
          <w:b w:val="0"/>
          <w:sz w:val="28"/>
        </w:rPr>
        <w:t xml:space="preserve">. Для выявления потерь использованы инструменты Lean: </w:t>
      </w:r>
      <w:r>
        <w:rPr>
          <w:rFonts w:ascii="Times New Roman" w:hAnsi="Times New Roman"/>
          <w:b/>
          <w:sz w:val="28"/>
        </w:rPr>
        <w:t>семь видов потерь</w:t>
      </w:r>
      <w:r>
        <w:rPr>
          <w:rFonts w:ascii="Times New Roman" w:hAnsi="Times New Roman"/>
          <w:b w:val="0"/>
          <w:sz w:val="28"/>
        </w:rPr>
        <w:t xml:space="preserve"> Тайити Оно, классификация операций на действия, добавляющие ценность, и не добавляющие, диаграмма Исикавы и метод </w:t>
      </w:r>
      <w:r>
        <w:rPr>
          <w:rFonts w:ascii="Times New Roman" w:hAnsi="Times New Roman"/>
          <w:b/>
          <w:sz w:val="28"/>
        </w:rPr>
        <w:t>5С</w:t>
      </w:r>
      <w:r>
        <w:rPr>
          <w:rFonts w:ascii="Times New Roman" w:hAnsi="Times New Roman"/>
          <w:b w:val="0"/>
          <w:sz w:val="28"/>
        </w:rPr>
        <w:t xml:space="preserve">. Для оценки решений — инвестиционные показатели </w:t>
      </w:r>
      <w:r>
        <w:rPr>
          <w:rFonts w:ascii="Times New Roman" w:hAnsi="Times New Roman"/>
          <w:b/>
          <w:sz w:val="28"/>
        </w:rPr>
        <w:t>NPV, IRR и DPP</w:t>
      </w:r>
      <w:r>
        <w:rPr>
          <w:rFonts w:ascii="Times New Roman" w:hAnsi="Times New Roman"/>
          <w:b w:val="0"/>
          <w:sz w:val="28"/>
        </w:rPr>
        <w:t>, а также анализ чувствительности.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Этот стек стал универсальной методикой, применённой далее ко всем трём подразделениям КФУ.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5 — Глава 2. Положение КФУ в отрасли (~30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Во второй главе проведён сравнительный анализ КФУ и </w:t>
      </w:r>
      <w:r>
        <w:rPr>
          <w:rFonts w:ascii="Times New Roman" w:hAnsi="Times New Roman"/>
          <w:b/>
          <w:sz w:val="28"/>
        </w:rPr>
        <w:t>семи федеральных университетов России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КФУ занимает </w:t>
      </w:r>
      <w:r>
        <w:rPr>
          <w:rFonts w:ascii="Times New Roman" w:hAnsi="Times New Roman"/>
          <w:b/>
          <w:sz w:val="28"/>
        </w:rPr>
        <w:t>первое место</w:t>
      </w:r>
      <w:r>
        <w:rPr>
          <w:rFonts w:ascii="Times New Roman" w:hAnsi="Times New Roman"/>
          <w:b w:val="0"/>
          <w:sz w:val="28"/>
        </w:rPr>
        <w:t xml:space="preserve"> по среднему баллу ЕГЭ — </w:t>
      </w:r>
      <w:r>
        <w:rPr>
          <w:rFonts w:ascii="Times New Roman" w:hAnsi="Times New Roman"/>
          <w:b/>
          <w:sz w:val="28"/>
        </w:rPr>
        <w:t>74,2</w:t>
      </w:r>
      <w:r>
        <w:rPr>
          <w:rFonts w:ascii="Times New Roman" w:hAnsi="Times New Roman"/>
          <w:b w:val="0"/>
          <w:sz w:val="28"/>
        </w:rPr>
        <w:t xml:space="preserve"> — и по доле иностранных студентов — </w:t>
      </w:r>
      <w:r>
        <w:rPr>
          <w:rFonts w:ascii="Times New Roman" w:hAnsi="Times New Roman"/>
          <w:b/>
          <w:sz w:val="28"/>
        </w:rPr>
        <w:t>19,1 %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второе место</w:t>
      </w:r>
      <w:r>
        <w:rPr>
          <w:rFonts w:ascii="Times New Roman" w:hAnsi="Times New Roman"/>
          <w:b w:val="0"/>
          <w:sz w:val="28"/>
        </w:rPr>
        <w:t xml:space="preserve"> — по объёму НИОКР — </w:t>
      </w:r>
      <w:r>
        <w:rPr>
          <w:rFonts w:ascii="Times New Roman" w:hAnsi="Times New Roman"/>
          <w:b/>
          <w:sz w:val="28"/>
        </w:rPr>
        <w:t>2,53 млрд рублей</w:t>
      </w:r>
      <w:r>
        <w:rPr>
          <w:rFonts w:ascii="Times New Roman" w:hAnsi="Times New Roman"/>
          <w:b w:val="0"/>
          <w:sz w:val="28"/>
        </w:rPr>
        <w:t xml:space="preserve"> — и по доле внебюджетных доходов — </w:t>
      </w:r>
      <w:r>
        <w:rPr>
          <w:rFonts w:ascii="Times New Roman" w:hAnsi="Times New Roman"/>
          <w:b/>
          <w:sz w:val="28"/>
        </w:rPr>
        <w:t>46,2 %</w:t>
      </w:r>
      <w:r>
        <w:rPr>
          <w:rFonts w:ascii="Times New Roman" w:hAnsi="Times New Roman"/>
          <w:b w:val="0"/>
          <w:sz w:val="28"/>
        </w:rPr>
        <w:t xml:space="preserve">. На основании этого анализа для углублённого изучения были отобраны три подразделения: </w:t>
      </w:r>
      <w:r>
        <w:rPr>
          <w:rFonts w:ascii="Times New Roman" w:hAnsi="Times New Roman"/>
          <w:b/>
          <w:sz w:val="28"/>
        </w:rPr>
        <w:t>Дирекция музеев</w:t>
      </w:r>
      <w:r>
        <w:rPr>
          <w:rFonts w:ascii="Times New Roman" w:hAnsi="Times New Roman"/>
          <w:b w:val="0"/>
          <w:sz w:val="28"/>
        </w:rPr>
        <w:t xml:space="preserve"> с фондом 800 тысяч единиц хранения, </w:t>
      </w:r>
      <w:r>
        <w:rPr>
          <w:rFonts w:ascii="Times New Roman" w:hAnsi="Times New Roman"/>
          <w:b/>
          <w:sz w:val="28"/>
        </w:rPr>
        <w:t>ЦРКП</w:t>
      </w:r>
      <w:r>
        <w:rPr>
          <w:rFonts w:ascii="Times New Roman" w:hAnsi="Times New Roman"/>
          <w:b w:val="0"/>
          <w:sz w:val="28"/>
        </w:rPr>
        <w:t xml:space="preserve"> с 6 615 ППС и </w:t>
      </w:r>
      <w:r>
        <w:rPr>
          <w:rFonts w:ascii="Times New Roman" w:hAnsi="Times New Roman"/>
          <w:b/>
          <w:sz w:val="28"/>
        </w:rPr>
        <w:t>УДК</w:t>
      </w:r>
      <w:r>
        <w:rPr>
          <w:rFonts w:ascii="Times New Roman" w:hAnsi="Times New Roman"/>
          <w:b w:val="0"/>
          <w:sz w:val="28"/>
        </w:rPr>
        <w:t xml:space="preserve"> с архивом в 170 тысяч единиц.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6 — Глава 3. Объект исследования и проблемы AS IS (~55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Объектом исследования третьей главы выступает </w:t>
      </w:r>
      <w:r>
        <w:rPr>
          <w:rFonts w:ascii="Times New Roman" w:hAnsi="Times New Roman"/>
          <w:b/>
          <w:sz w:val="28"/>
        </w:rPr>
        <w:t>Казанский федеральный университет</w:t>
      </w:r>
      <w:r>
        <w:rPr>
          <w:rFonts w:ascii="Times New Roman" w:hAnsi="Times New Roman"/>
          <w:b w:val="0"/>
          <w:sz w:val="28"/>
        </w:rPr>
        <w:t xml:space="preserve"> — один из десяти федеральных университетов России, лидер Приволжского федерального округа.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В рамках анализа деятельности было построено </w:t>
      </w:r>
      <w:r>
        <w:rPr>
          <w:rFonts w:ascii="Times New Roman" w:hAnsi="Times New Roman"/>
          <w:b/>
          <w:sz w:val="28"/>
        </w:rPr>
        <w:t>девять моделей AS IS</w:t>
      </w:r>
      <w:r>
        <w:rPr>
          <w:rFonts w:ascii="Times New Roman" w:hAnsi="Times New Roman"/>
          <w:b w:val="0"/>
          <w:sz w:val="28"/>
        </w:rPr>
        <w:t xml:space="preserve"> и выявлены </w:t>
      </w:r>
      <w:r>
        <w:rPr>
          <w:rFonts w:ascii="Times New Roman" w:hAnsi="Times New Roman"/>
          <w:b/>
          <w:sz w:val="28"/>
        </w:rPr>
        <w:t>три ключевые проблемы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Первое — Дирекция музеев</w:t>
      </w:r>
      <w:r>
        <w:rPr>
          <w:rFonts w:ascii="Times New Roman" w:hAnsi="Times New Roman"/>
          <w:b w:val="0"/>
          <w:sz w:val="28"/>
        </w:rPr>
        <w:t xml:space="preserve">: оцифровка одного экспоната занимает </w:t>
      </w:r>
      <w:r>
        <w:rPr>
          <w:rFonts w:ascii="Times New Roman" w:hAnsi="Times New Roman"/>
          <w:b/>
          <w:sz w:val="28"/>
        </w:rPr>
        <w:t>45 минут</w:t>
      </w:r>
      <w:r>
        <w:rPr>
          <w:rFonts w:ascii="Times New Roman" w:hAnsi="Times New Roman"/>
          <w:b w:val="0"/>
          <w:sz w:val="28"/>
        </w:rPr>
        <w:t xml:space="preserve">, из них 10 минут — ожидание программного обеспечения; производительность — всего </w:t>
      </w:r>
      <w:r>
        <w:rPr>
          <w:rFonts w:ascii="Times New Roman" w:hAnsi="Times New Roman"/>
          <w:b/>
          <w:sz w:val="28"/>
        </w:rPr>
        <w:t>9 экспонатов в день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Второе — ЦРКП</w:t>
      </w:r>
      <w:r>
        <w:rPr>
          <w:rFonts w:ascii="Times New Roman" w:hAnsi="Times New Roman"/>
          <w:b w:val="0"/>
          <w:sz w:val="28"/>
        </w:rPr>
        <w:t xml:space="preserve">: согласование одного заявления ППС длится до </w:t>
      </w:r>
      <w:r>
        <w:rPr>
          <w:rFonts w:ascii="Times New Roman" w:hAnsi="Times New Roman"/>
          <w:b/>
          <w:sz w:val="28"/>
        </w:rPr>
        <w:t>5 рабочих дней</w:t>
      </w:r>
      <w:r>
        <w:rPr>
          <w:rFonts w:ascii="Times New Roman" w:hAnsi="Times New Roman"/>
          <w:b w:val="0"/>
          <w:sz w:val="28"/>
        </w:rPr>
        <w:t xml:space="preserve">, бумажный документооборот вовлекает 20 сотрудников и порождает </w:t>
      </w:r>
      <w:r>
        <w:rPr>
          <w:rFonts w:ascii="Times New Roman" w:hAnsi="Times New Roman"/>
          <w:b/>
          <w:sz w:val="28"/>
        </w:rPr>
        <w:t>192 минуты потерь</w:t>
      </w:r>
      <w:r>
        <w:rPr>
          <w:rFonts w:ascii="Times New Roman" w:hAnsi="Times New Roman"/>
          <w:b w:val="0"/>
          <w:sz w:val="28"/>
        </w:rPr>
        <w:t xml:space="preserve"> на маршрут.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Третье — УДК</w:t>
      </w:r>
      <w:r>
        <w:rPr>
          <w:rFonts w:ascii="Times New Roman" w:hAnsi="Times New Roman"/>
          <w:b w:val="0"/>
          <w:sz w:val="28"/>
        </w:rPr>
        <w:t xml:space="preserve">: архив оцифрован лишь на </w:t>
      </w:r>
      <w:r>
        <w:rPr>
          <w:rFonts w:ascii="Times New Roman" w:hAnsi="Times New Roman"/>
          <w:b/>
          <w:sz w:val="28"/>
        </w:rPr>
        <w:t>12 %</w:t>
      </w:r>
      <w:r>
        <w:rPr>
          <w:rFonts w:ascii="Times New Roman" w:hAnsi="Times New Roman"/>
          <w:b w:val="0"/>
          <w:sz w:val="28"/>
        </w:rPr>
        <w:t xml:space="preserve">, согласование ОРД требует </w:t>
      </w:r>
      <w:r>
        <w:rPr>
          <w:rFonts w:ascii="Times New Roman" w:hAnsi="Times New Roman"/>
          <w:b/>
          <w:sz w:val="28"/>
        </w:rPr>
        <w:t>7 часов ожидания</w:t>
      </w:r>
      <w:r>
        <w:rPr>
          <w:rFonts w:ascii="Times New Roman" w:hAnsi="Times New Roman"/>
          <w:b w:val="0"/>
          <w:sz w:val="28"/>
        </w:rPr>
        <w:t xml:space="preserve">, регистрация одного документа — </w:t>
      </w:r>
      <w:r>
        <w:rPr>
          <w:rFonts w:ascii="Times New Roman" w:hAnsi="Times New Roman"/>
          <w:b/>
          <w:sz w:val="28"/>
        </w:rPr>
        <w:t>176 секунд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В сумме </w:t>
      </w:r>
      <w:r>
        <w:rPr>
          <w:rFonts w:ascii="Times New Roman" w:hAnsi="Times New Roman"/>
          <w:b/>
          <w:sz w:val="28"/>
        </w:rPr>
        <w:t>64 % всех операций</w:t>
      </w:r>
      <w:r>
        <w:rPr>
          <w:rFonts w:ascii="Times New Roman" w:hAnsi="Times New Roman"/>
          <w:b w:val="0"/>
          <w:sz w:val="28"/>
        </w:rPr>
        <w:t xml:space="preserve"> относятся к не добавляющим ценность — то есть подлежат устранению.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7 — Глава 3. Решения TO BE (~45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Для каждой проблемы предложены целевые модели </w:t>
      </w:r>
      <w:r>
        <w:rPr>
          <w:rFonts w:ascii="Times New Roman" w:hAnsi="Times New Roman"/>
          <w:b/>
          <w:sz w:val="28"/>
        </w:rPr>
        <w:t>TO BE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Для </w:t>
      </w:r>
      <w:r>
        <w:rPr>
          <w:rFonts w:ascii="Times New Roman" w:hAnsi="Times New Roman"/>
          <w:b/>
          <w:sz w:val="28"/>
        </w:rPr>
        <w:t>музеев</w:t>
      </w:r>
      <w:r>
        <w:rPr>
          <w:rFonts w:ascii="Times New Roman" w:hAnsi="Times New Roman"/>
          <w:b w:val="0"/>
          <w:sz w:val="28"/>
        </w:rPr>
        <w:t xml:space="preserve"> — внедрение системы </w:t>
      </w:r>
      <w:r>
        <w:rPr>
          <w:rFonts w:ascii="Times New Roman" w:hAnsi="Times New Roman"/>
          <w:b/>
          <w:sz w:val="28"/>
        </w:rPr>
        <w:t>5С</w:t>
      </w:r>
      <w:r>
        <w:rPr>
          <w:rFonts w:ascii="Times New Roman" w:hAnsi="Times New Roman"/>
          <w:b w:val="0"/>
          <w:sz w:val="28"/>
        </w:rPr>
        <w:t xml:space="preserve">, типовых шаблонов описаний и привлечение лаборанта; время сокращается с 45 до </w:t>
      </w:r>
      <w:r>
        <w:rPr>
          <w:rFonts w:ascii="Times New Roman" w:hAnsi="Times New Roman"/>
          <w:b/>
          <w:sz w:val="28"/>
        </w:rPr>
        <w:t>18 минут</w:t>
      </w:r>
      <w:r>
        <w:rPr>
          <w:rFonts w:ascii="Times New Roman" w:hAnsi="Times New Roman"/>
          <w:b w:val="0"/>
          <w:sz w:val="28"/>
        </w:rPr>
        <w:t xml:space="preserve"> на экспонат, производительность растёт </w:t>
      </w:r>
      <w:r>
        <w:rPr>
          <w:rFonts w:ascii="Times New Roman" w:hAnsi="Times New Roman"/>
          <w:b/>
          <w:sz w:val="28"/>
        </w:rPr>
        <w:t>на 233 %</w:t>
      </w:r>
      <w:r>
        <w:rPr>
          <w:rFonts w:ascii="Times New Roman" w:hAnsi="Times New Roman"/>
          <w:b w:val="0"/>
          <w:sz w:val="28"/>
        </w:rPr>
        <w:t>, инвестиции — 65 тысяч рублей.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Для </w:t>
      </w:r>
      <w:r>
        <w:rPr>
          <w:rFonts w:ascii="Times New Roman" w:hAnsi="Times New Roman"/>
          <w:b/>
          <w:sz w:val="28"/>
        </w:rPr>
        <w:t>ЦРКП</w:t>
      </w:r>
      <w:r>
        <w:rPr>
          <w:rFonts w:ascii="Times New Roman" w:hAnsi="Times New Roman"/>
          <w:b w:val="0"/>
          <w:sz w:val="28"/>
        </w:rPr>
        <w:t xml:space="preserve"> — перевод процесса в </w:t>
      </w:r>
      <w:r>
        <w:rPr>
          <w:rFonts w:ascii="Times New Roman" w:hAnsi="Times New Roman"/>
          <w:b/>
          <w:sz w:val="28"/>
        </w:rPr>
        <w:t>Битрикс24</w:t>
      </w:r>
      <w:r>
        <w:rPr>
          <w:rFonts w:ascii="Times New Roman" w:hAnsi="Times New Roman"/>
          <w:b w:val="0"/>
          <w:sz w:val="28"/>
        </w:rPr>
        <w:t xml:space="preserve"> с электронной подписью; срок согласования сокращается с 5 дней до </w:t>
      </w:r>
      <w:r>
        <w:rPr>
          <w:rFonts w:ascii="Times New Roman" w:hAnsi="Times New Roman"/>
          <w:b/>
          <w:sz w:val="28"/>
        </w:rPr>
        <w:t>20 минут</w:t>
      </w:r>
      <w:r>
        <w:rPr>
          <w:rFonts w:ascii="Times New Roman" w:hAnsi="Times New Roman"/>
          <w:b w:val="0"/>
          <w:sz w:val="28"/>
        </w:rPr>
        <w:t xml:space="preserve">, штат — на </w:t>
      </w:r>
      <w:r>
        <w:rPr>
          <w:rFonts w:ascii="Times New Roman" w:hAnsi="Times New Roman"/>
          <w:b/>
          <w:sz w:val="28"/>
        </w:rPr>
        <w:t>17 единиц</w:t>
      </w:r>
      <w:r>
        <w:rPr>
          <w:rFonts w:ascii="Times New Roman" w:hAnsi="Times New Roman"/>
          <w:b w:val="0"/>
          <w:sz w:val="28"/>
        </w:rPr>
        <w:t>, инвестиции — 450 тысяч рублей.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Для </w:t>
      </w:r>
      <w:r>
        <w:rPr>
          <w:rFonts w:ascii="Times New Roman" w:hAnsi="Times New Roman"/>
          <w:b/>
          <w:sz w:val="28"/>
        </w:rPr>
        <w:t>УДК</w:t>
      </w:r>
      <w:r>
        <w:rPr>
          <w:rFonts w:ascii="Times New Roman" w:hAnsi="Times New Roman"/>
          <w:b w:val="0"/>
          <w:sz w:val="28"/>
        </w:rPr>
        <w:t xml:space="preserve"> — внедрение </w:t>
      </w:r>
      <w:r>
        <w:rPr>
          <w:rFonts w:ascii="Times New Roman" w:hAnsi="Times New Roman"/>
          <w:b/>
          <w:sz w:val="28"/>
        </w:rPr>
        <w:t>OCR</w:t>
      </w:r>
      <w:r>
        <w:rPr>
          <w:rFonts w:ascii="Times New Roman" w:hAnsi="Times New Roman"/>
          <w:b w:val="0"/>
          <w:sz w:val="28"/>
        </w:rPr>
        <w:t xml:space="preserve"> с привлечением студентов и </w:t>
      </w:r>
      <w:r>
        <w:rPr>
          <w:rFonts w:ascii="Times New Roman" w:hAnsi="Times New Roman"/>
          <w:b/>
          <w:sz w:val="28"/>
        </w:rPr>
        <w:t>QR-маршрутизация</w:t>
      </w:r>
      <w:r>
        <w:rPr>
          <w:rFonts w:ascii="Times New Roman" w:hAnsi="Times New Roman"/>
          <w:b w:val="0"/>
          <w:sz w:val="28"/>
        </w:rPr>
        <w:t xml:space="preserve"> документов с ИИ-проверкой; архив оцифровывается на 100 %, скорость регистрации растёт </w:t>
      </w:r>
      <w:r>
        <w:rPr>
          <w:rFonts w:ascii="Times New Roman" w:hAnsi="Times New Roman"/>
          <w:b/>
          <w:sz w:val="28"/>
        </w:rPr>
        <w:t>на 21,9 %</w:t>
      </w:r>
      <w:r>
        <w:rPr>
          <w:rFonts w:ascii="Times New Roman" w:hAnsi="Times New Roman"/>
          <w:b w:val="0"/>
          <w:sz w:val="28"/>
        </w:rPr>
        <w:t>, инвестиции — 277,5 тысяч рублей.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8 — Глава 3. Экономическая эффективность (~40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Совокупные инвестиции — </w:t>
      </w:r>
      <w:r>
        <w:rPr>
          <w:rFonts w:ascii="Times New Roman" w:hAnsi="Times New Roman"/>
          <w:b/>
          <w:sz w:val="28"/>
        </w:rPr>
        <w:t>792,5 тысячи рублей</w:t>
      </w:r>
      <w:r>
        <w:rPr>
          <w:rFonts w:ascii="Times New Roman" w:hAnsi="Times New Roman"/>
          <w:b w:val="0"/>
          <w:sz w:val="28"/>
        </w:rPr>
        <w:t xml:space="preserve">, ежегодный денежный поток — </w:t>
      </w:r>
      <w:r>
        <w:rPr>
          <w:rFonts w:ascii="Times New Roman" w:hAnsi="Times New Roman"/>
          <w:b/>
          <w:sz w:val="28"/>
        </w:rPr>
        <w:t>1,71 миллиона рублей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При ставке дисконтирования </w:t>
      </w:r>
      <w:r>
        <w:rPr>
          <w:rFonts w:ascii="Times New Roman" w:hAnsi="Times New Roman"/>
          <w:b/>
          <w:sz w:val="28"/>
        </w:rPr>
        <w:t>23 %</w:t>
      </w:r>
      <w:r>
        <w:rPr>
          <w:rFonts w:ascii="Times New Roman" w:hAnsi="Times New Roman"/>
          <w:b w:val="0"/>
          <w:sz w:val="28"/>
        </w:rPr>
        <w:t xml:space="preserve"> на горизонте пяти лет проект демонстрирует </w:t>
      </w:r>
      <w:r>
        <w:rPr>
          <w:rFonts w:ascii="Times New Roman" w:hAnsi="Times New Roman"/>
          <w:b/>
          <w:sz w:val="28"/>
        </w:rPr>
        <w:t>NPV в 4 миллиона рублей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IRR — 215 %</w:t>
      </w:r>
      <w:r>
        <w:rPr>
          <w:rFonts w:ascii="Times New Roman" w:hAnsi="Times New Roman"/>
          <w:b w:val="0"/>
          <w:sz w:val="28"/>
        </w:rPr>
        <w:t xml:space="preserve">, дисконтированный срок окупаемости — около </w:t>
      </w:r>
      <w:r>
        <w:rPr>
          <w:rFonts w:ascii="Times New Roman" w:hAnsi="Times New Roman"/>
          <w:b/>
          <w:sz w:val="28"/>
        </w:rPr>
        <w:t>семи месяцев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 xml:space="preserve">Анализ чувствительности показал высокий запас прочности: даже при пессимистичном сценарии — снижении денежного потока на 50 % — NPV остаётся положительным и составляет </w:t>
      </w:r>
      <w:r>
        <w:rPr>
          <w:rFonts w:ascii="Times New Roman" w:hAnsi="Times New Roman"/>
          <w:b/>
          <w:sz w:val="28"/>
        </w:rPr>
        <w:t>1,6 миллиона рублей</w:t>
      </w:r>
      <w:r>
        <w:rPr>
          <w:rFonts w:ascii="Times New Roman" w:hAnsi="Times New Roman"/>
          <w:b w:val="0"/>
          <w:sz w:val="28"/>
        </w:rPr>
        <w:t xml:space="preserve">. Это обосновывает рекомендованную </w:t>
      </w:r>
      <w:r>
        <w:rPr>
          <w:rFonts w:ascii="Times New Roman" w:hAnsi="Times New Roman"/>
          <w:b/>
          <w:sz w:val="28"/>
        </w:rPr>
        <w:t>очерёдность внедрения: ЦРКП → УДК → Музеи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9 — Выводы (~35 сек)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По итогам работы можно сформулировать следующие выводы.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По первой главе</w:t>
      </w:r>
      <w:r>
        <w:rPr>
          <w:rFonts w:ascii="Times New Roman" w:hAnsi="Times New Roman"/>
          <w:b w:val="0"/>
          <w:sz w:val="28"/>
        </w:rPr>
        <w:t>: сформирован воспроизводимый трёхуровневый методический стек «IDEF0 + BPMN + EPC + Lean + инвестиционный анализ», применимый к любому подразделению вуза.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По второй главе</w:t>
      </w:r>
      <w:r>
        <w:rPr>
          <w:rFonts w:ascii="Times New Roman" w:hAnsi="Times New Roman"/>
          <w:b w:val="0"/>
          <w:sz w:val="28"/>
        </w:rPr>
        <w:t>: КФУ входит в число лидеров среди федеральных университетов РФ, что делает его репрезентативной площадкой для тиражирования предложенных решений.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По третьей главе</w:t>
      </w:r>
      <w:r>
        <w:rPr>
          <w:rFonts w:ascii="Times New Roman" w:hAnsi="Times New Roman"/>
          <w:b w:val="0"/>
          <w:sz w:val="28"/>
        </w:rPr>
        <w:t xml:space="preserve">, во-первых, выявлены и формализованы три типовых узких места — ручной ввод, бумажный документооборот и ожидание ИТ; во-вторых, разработаны девять моделей TO BE, обеспечивающих сокращение </w:t>
      </w:r>
      <w:r>
        <w:rPr>
          <w:rFonts w:ascii="Times New Roman" w:hAnsi="Times New Roman"/>
          <w:b/>
          <w:sz w:val="28"/>
        </w:rPr>
        <w:t>17 штатных единиц</w:t>
      </w:r>
      <w:r>
        <w:rPr>
          <w:rFonts w:ascii="Times New Roman" w:hAnsi="Times New Roman"/>
          <w:b w:val="0"/>
          <w:sz w:val="28"/>
        </w:rPr>
        <w:t xml:space="preserve"> и устранение 64 % операций без ценности; в-третьих, доказана экономическая эффективность — </w:t>
      </w:r>
      <w:r>
        <w:rPr>
          <w:rFonts w:ascii="Times New Roman" w:hAnsi="Times New Roman"/>
          <w:b/>
          <w:sz w:val="28"/>
        </w:rPr>
        <w:t>NPV 4 миллиона рублей при окупаемости семь месяцев</w:t>
      </w:r>
      <w:r>
        <w:rPr>
          <w:rFonts w:ascii="Times New Roman" w:hAnsi="Times New Roman"/>
          <w:b w:val="0"/>
          <w:sz w:val="28"/>
        </w:rPr>
        <w:t>, а сами решения тиражируемы на остальные федеральные университеты России.</w:t>
      </w:r>
    </w:p>
    <w:p>
      <w:pPr>
        <w:spacing w:before="240" w:after="80"/>
      </w:pPr>
      <w:r>
        <w:rPr>
          <w:rFonts w:ascii="Times New Roman" w:hAnsi="Times New Roman"/>
          <w:b/>
          <w:color w:val="1F3A68"/>
          <w:sz w:val="26"/>
        </w:rPr>
        <w:t>Слайд 10 — Завершение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Спасибо за внимание! Готов(-а) ответить на ваши вопросы.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Хронометраж выступления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Слайд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Время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Приветствие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0:05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Актуальность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0:30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Цель и задачи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0:25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Глава 1 — теория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0:30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Глава 2 — отрасль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0:30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Глава 3 — компания и проблемы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0:55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Глава 3 — решения TO BE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0:45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Глава 3 — экономика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0:40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Выводы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0:35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Завершение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4"/>
              </w:rPr>
              <w:t>0:05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~5:00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Советы по выступлению</w:t>
      </w:r>
    </w:p>
    <w:p>
      <w:pPr>
        <w:pStyle w:val="ListBullet"/>
      </w:pPr>
      <w:r>
        <w:rPr>
          <w:rFonts w:ascii="Times New Roman" w:hAnsi="Times New Roman"/>
          <w:sz w:val="24"/>
        </w:rPr>
        <w:t>Тренируйтесь с секундомером — на первой репетиции обычно перебор 30–60 сек; режьте формулировки в гл. 1 и гл. 2.</w:t>
      </w:r>
    </w:p>
    <w:p>
      <w:pPr>
        <w:pStyle w:val="ListBullet"/>
      </w:pPr>
      <w:r>
        <w:rPr>
          <w:rFonts w:ascii="Times New Roman" w:hAnsi="Times New Roman"/>
          <w:sz w:val="24"/>
        </w:rPr>
        <w:t>Не читайте с листа — ключевые цифры заучите наизусть, остальное пересказывайте своими словами.</w:t>
      </w:r>
    </w:p>
    <w:p>
      <w:pPr>
        <w:pStyle w:val="ListBullet"/>
      </w:pPr>
      <w:r>
        <w:rPr>
          <w:rFonts w:ascii="Times New Roman" w:hAnsi="Times New Roman"/>
          <w:sz w:val="24"/>
        </w:rPr>
        <w:t>Между слайдами — короткая пауза (1 сек), чтобы комиссия успела перевести взгляд на новый слайд.</w:t>
      </w:r>
    </w:p>
    <w:p>
      <w:pPr>
        <w:pStyle w:val="ListBullet"/>
      </w:pPr>
      <w:r>
        <w:rPr>
          <w:rFonts w:ascii="Times New Roman" w:hAnsi="Times New Roman"/>
          <w:sz w:val="24"/>
        </w:rPr>
        <w:t>Слайд 8 (экономика) — кульминация; говорите чуть медленнее, цифры NPV / IRR / DPP должны прозвучать максимально чётко.</w:t>
      </w:r>
    </w:p>
    <w:p>
      <w:pPr>
        <w:pStyle w:val="ListBullet"/>
      </w:pPr>
      <w:r>
        <w:rPr>
          <w:rFonts w:ascii="Times New Roman" w:hAnsi="Times New Roman"/>
          <w:sz w:val="24"/>
        </w:rPr>
        <w:t>Если коллеги не объявят тему и ФИО — на слайде 1 добавьте: «Меня зовут [ФИО], тема моей ВКР — “Моделирование и анализ бизнес-процессов в образовательной организации”».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