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PT Sans" w:hAnsi="PT Sans"/>
          <w:b/>
          <w:i w:val="0"/>
          <w:color w:val="17365D"/>
          <w:sz w:val="36"/>
        </w:rPr>
        <w:t>Текст выступления на защите ВКР</w:t>
      </w:r>
    </w:p>
    <w:p>
      <w:pPr>
        <w:spacing w:before="0" w:after="40"/>
        <w:jc w:val="center"/>
      </w:pPr>
      <w:r>
        <w:rPr>
          <w:rFonts w:ascii="PT Sans" w:hAnsi="PT Sans"/>
          <w:b w:val="0"/>
          <w:i/>
          <w:color w:val="595959"/>
          <w:sz w:val="24"/>
        </w:rPr>
        <w:t>Тема: «Моделирование и анализ бизнес-процессов в образовательной организации»</w:t>
      </w:r>
    </w:p>
    <w:p>
      <w:pPr>
        <w:spacing w:before="0" w:after="360"/>
        <w:jc w:val="center"/>
      </w:pPr>
      <w:r>
        <w:rPr>
          <w:rFonts w:ascii="PT Sans" w:hAnsi="PT Sans"/>
          <w:b w:val="0"/>
          <w:i/>
          <w:color w:val="595959"/>
          <w:sz w:val="22"/>
        </w:rPr>
        <w:t>Хронометраж: 5 минут   ·   Объём: ≈ 700 слов   ·   Темп: 140 сл./мин</w:t>
      </w:r>
    </w:p>
    <w:p>
      <w:pPr>
        <w:pBdr>
          <w:bottom w:val="single" w:sz="12" w:space="1" w:color="17365D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0:00 — 0:10   |   Слайд 1   |   Приветствие  (10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[слайд 1 — титульный]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Добрый день, уважаемая комиссия!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0:10 — 0:45   |   Слайд 2   |   Актуальность  (35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2]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Тема выпускной квалификационной работы является актуальной по трём причинам.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Первая — государственный курс на цифровую трансформацию высшего образования: в соответствии с распоряжением Правительства Российской Федерации № 3759-р от 21 декабря 2021 года, к 2030 году не менее 95 % управленческих процессов в вузах должны предоставляться в электронном виде.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Вторая — низкий стартовый уровень цифровой зрелости отрасли: по данным НИУ Высшей школы экономики, 29 % российских вузов относятся к категории «цифровых аутсайдеров», и только 23 % — к «цифровым лидерам».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Третья — кадрово-финансовые ограничения цифровизации: 64 % вузов главным барьером называют дефицит ИТ-кадров. В этих условиях единственный путь — сначала формализовать процессы, и только потом внедрять ИТ-системы.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Перечисленные факторы предопределили необходимость моделирования и анализа бизнес-процессов в образовательной организации.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0:45 — 1:10   |   Слайд 3   |   Цель и задачи  (25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3]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Актуальность позволила определить цель исследования, которая заключается в изучении теоретических основ моделирования и анализа бизнес-процессов в образовательной организации и их практическом применении в деятельности структурных подразделений Казанского федерального университета.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Для достижения цели поставлены пять задач, они представлены на слайде.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1:10 — 1:40   |   Слайд 4   |   Глава 1 — теория  (30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4]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 рамках первой, теоретической главы обоснован трёхуровневый методический стек исследования.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Первый уровень — нотации моделирования: IDEF0 для стратегического контекста, BPMN — для операционного описания процессов с исполнителями, EPC — для детализации событийной логики на нижнем уровне.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Второй уровень — инструменты бережливого производства: классификация семи видов потерь Тайити Оно, классификация операций «добавляющие ценность / необходимые / не добавляющие ценности», диаграмма Ишикавы, методика 5С и цикл DMAIC.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Третий уровень — методы инвестиционного анализа: NPV, IRR, дисконтированный срок окупаемости и анализ чувствительности.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1:40 — 2:10   |   Слайд 5   |   Глава 2 — отрасль  (30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5]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Во второй главе на основе мониторинга Минобрнауки за 2020–2025 годы по семи федеральным университетам выявлено, что КФУ занимает лидирующие позиции: первое место среди федеральных вузов по среднему баллу ЕГЭ — 74,2 и доле иностранных студентов — 19 %; второе место по объёму НИОКР — 2,53 миллиарда рублей и доле внебюджетных доходов — 46 %.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Это означает, что резерв роста сосредоточен во вспомогательных и управленческих процессах, что и определило выбор объектов исследования: Дирекция музеев, Управление кадров и Управление документооборота КФУ.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2:10 — 2:25   |   Слайд 5   |   Глава 3 — объекты  (15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[остаюсь на слайде 5, показываю карточки внизу]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Кратко об объектах исследования. Дирекция музеев КФУ — это 13 музеев и около 800 тысяч единиц хранения. Управление кадров обслуживает 6 615 человек профессорско-преподавательского состава. Управление документооборота и контроля обрабатывает 100 % корреспонденции университета и более 170 тысяч единиц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2:25 — 3:05   |   Слайд 6   |   AS IS — проблемы  (40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6]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 рамках третьей главы для каждого подразделения построено по три модели текущего состояния в нотациях IDEF0, BPMN и EPC. Анализ показал следующие проблемы.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 Дирекции музеев регистрация одного экспоната в системе КАМИС занимает 45 минут, в день обрабатывается всего 9 экспонатов, фиксируются простои из-за зависания программного обеспечения.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 Управлении кадров обработка одного заявления на отпуск занимает до 5 дней и нагружает 20 сотрудников при бумажном документообороте.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 Управлении документооборота оцифровано лишь 12 % архива, поиск одной справки занимает 22 минуты, согласование организационно-распорядительных документов — до 7 часов ожидания.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Доля операций, не добавляющих ценности, во всех процессах достигает 64 %. При этом во всех трёх подразделениях независимо обнаружены одни и те же три типовых узких места: ручной ввод, бумажный документооборот и ожидание ИТ-систем.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3:05 — 3:45   |   Слайд 7   |   TO BE — решения  (40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7]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Для устранения выявленных проблем разработано девять моделей целевого состояния на основе тиражируемого инструментария.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Для Дирекции музеев предлагается внедрение методики 5С, стандартизованной фотозоны и шаблонов карточек КАМИС — это сокращает время регистрации экспоната с 45 до 18 минут.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Для Управления кадров — внедрение платформы Битрикс24 с электронной подписью и личным кабинетом ППС, что сокращает цикл с 5 дней до 20 минут и снижает потребность в персонале с 20 до 3 сотрудников — то есть высвобождает 17 штатных единиц.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Для Управления документооборота — оцифровка архива с привлечением студентов, OCR-распознавание, QR-маршрутизация исходящих документов и ИИ-проверка ОРД. Это позволяет довести оцифровку архива со 12 до 100 %.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Принципиально, что все решения построены на тиражируемых инструментах и не требуют капитальных вложений в собственную ИТ-инфраструктуру.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3:45 — 4:30   |   Слайд 8   |   Экономическая эффективность  (45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8]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Для оценки экономической эффективности проведён инвестиционный анализ на горизонте 5 лет при ставке дисконтирования 23 %.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При совокупных инвестициях 792 тысячи 500 рублей проект обеспечивает чистую приведённую стоимость NPV — 4 миллиона рублей, внутреннюю норму доходности IRR — 215 %, что в девять раз выше ставки дисконтирования, и дисконтированный срок окупаемости около семи месяцев — то есть в пределах одного учебного года.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Анализ чувствительности по пяти сценариям показал, что проект сохраняет рентабельность даже при сокращении эффекта на 83 %. Критическое значение денежного потока составляет лишь 16,5 % от планового.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Рекомендуемая очерёдность внедрения: первым — Управление кадров (максимальный NPV), вторым — Управление документооборота (максимальный запас прочности — 78 %), третьим — Дирекция музеев.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4:30 — 4:55   |   Слайд 9   |   Выводы  (25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9]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Выводы по работе.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По первой главе: обоснован комбинированный подход к моделированию — IDEF0, BPMN и EPC покрывают стратегический, операционный и аналитический горизонты процесса.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По второй главе: КФУ — лидер среди семи федеральных университетов России, что обусловливает релевантность исследования.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По третьей главе: выявлен системный, а не локальный характер проблем — три типовых узких места во всех подразделениях. Разработанные решения дают NPV 4 миллиона рублей при сроке окупаемости 7 месяцев. Предложенная методика тиражируема на любые вспомогательные подразделения федеральных университетов.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638"/>
            <w:shd w:val="clear" w:color="auto" w:fill="17365D"/>
            <w:vAlign w:val="center"/>
          </w:tcPr>
          <w:p>
            <w:pPr>
              <w:spacing w:before="40" w:after="40"/>
            </w:pPr>
            <w:r>
              <w:rPr>
                <w:rFonts w:ascii="PT Sans" w:hAnsi="PT Sans"/>
                <w:b/>
                <w:color w:val="FFFFFF"/>
                <w:sz w:val="24"/>
              </w:rPr>
              <w:t xml:space="preserve">  ⏱  4:55 — 5:00   |   Слайд 10   |   Завершение  (5 сек)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PT Sans" w:hAnsi="PT Sans"/>
          <w:i/>
          <w:color w:val="595959"/>
          <w:sz w:val="22"/>
        </w:rPr>
        <w:t>[переключаю на слайд 10]</w:t>
      </w:r>
    </w:p>
    <w:p>
      <w:pPr>
        <w:spacing w:after="160" w:line="312" w:lineRule="auto"/>
        <w:ind w:left="227"/>
      </w:pPr>
      <w:r>
        <w:rPr>
          <w:rFonts w:ascii="PT Sans" w:hAnsi="PT Sans"/>
          <w:sz w:val="26"/>
        </w:rPr>
        <w:t>Спасибо за внимание, готов ответить на вопросы.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PT Sans" w:hAnsi="PT Sans"/>
          <w:b/>
          <w:i w:val="0"/>
          <w:color w:val="17365D"/>
          <w:sz w:val="32"/>
        </w:rPr>
        <w:t>Карточка-шпаргалка по таймингу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7365D"/>
          </w:tcPr>
          <w:p>
            <w:pPr>
              <w:jc w:val="center"/>
            </w:pPr>
            <w:r>
              <w:rPr>
                <w:rFonts w:ascii="PT Sans" w:hAnsi="PT Sans"/>
                <w:b/>
                <w:color w:val="FFFFFF"/>
                <w:sz w:val="22"/>
              </w:rPr>
              <w:t>Время</w:t>
            </w:r>
          </w:p>
        </w:tc>
        <w:tc>
          <w:tcPr>
            <w:tcW w:type="dxa" w:w="1134"/>
            <w:shd w:val="clear" w:color="auto" w:fill="17365D"/>
          </w:tcPr>
          <w:p>
            <w:pPr>
              <w:jc w:val="center"/>
            </w:pPr>
            <w:r>
              <w:rPr>
                <w:rFonts w:ascii="PT Sans" w:hAnsi="PT Sans"/>
                <w:b/>
                <w:color w:val="FFFFFF"/>
                <w:sz w:val="22"/>
              </w:rPr>
              <w:t>Слайд</w:t>
            </w:r>
          </w:p>
        </w:tc>
        <w:tc>
          <w:tcPr>
            <w:tcW w:type="dxa" w:w="3969"/>
            <w:shd w:val="clear" w:color="auto" w:fill="17365D"/>
          </w:tcPr>
          <w:p>
            <w:pPr>
              <w:jc w:val="center"/>
            </w:pPr>
            <w:r>
              <w:rPr>
                <w:rFonts w:ascii="PT Sans" w:hAnsi="PT Sans"/>
                <w:b/>
                <w:color w:val="FFFFFF"/>
                <w:sz w:val="22"/>
              </w:rPr>
              <w:t>Ключевая мысль</w:t>
            </w:r>
          </w:p>
        </w:tc>
        <w:tc>
          <w:tcPr>
            <w:tcW w:type="dxa" w:w="3118"/>
            <w:shd w:val="clear" w:color="auto" w:fill="17365D"/>
          </w:tcPr>
          <w:p>
            <w:pPr>
              <w:jc w:val="center"/>
            </w:pPr>
            <w:r>
              <w:rPr>
                <w:rFonts w:ascii="PT Sans" w:hAnsi="PT Sans"/>
                <w:b/>
                <w:color w:val="FFFFFF"/>
                <w:sz w:val="22"/>
              </w:rPr>
              <w:t>Главные цифры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0:00–0:10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Приветствие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0:10–0:45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3 причины актуальности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95 %  ·  29 %  ·  64 %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0:45–1:10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Цель + задачи на слайде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1:10–1:40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Гл. 1: трёхуровневый стек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IDEF0+BPMN+EPC, Lean, NPV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1:40–2:10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Гл. 2: КФУ — лидер 7 ФУ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74,2 ЕГЭ · 19 % · 2,53 млрд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2:10–2:25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Кратко об объектах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13 музеев · 6 615 ППС · 170 тыс.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2:25–3:05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6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AS IS — проблемы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45 мин · 5 дней · 12 % · 64 % НДЦ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3:05–3:45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TO BE — решения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5С · Битрикс24 · OCR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3:45–4:30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8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Экономика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792,5 тыс. ₽ → NPV 4 млн · IRR 215 % · 7 мес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4:30–4:55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9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4 вывода (1+1+2)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4:55–5:00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10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«Спасибо за внимание»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PT Sans" w:hAnsi="PT Sans"/>
                <w:sz w:val="20"/>
              </w:rPr>
              <w:t>—</w:t>
            </w:r>
          </w:p>
        </w:tc>
      </w:tr>
    </w:tbl>
    <w:p>
      <w:pPr>
        <w:spacing w:after="240"/>
      </w:pPr>
    </w:p>
    <w:p>
      <w:pPr>
        <w:spacing w:before="0" w:after="160"/>
      </w:pPr>
      <w:r>
        <w:rPr>
          <w:rFonts w:ascii="PT Sans" w:hAnsi="PT Sans"/>
          <w:b/>
          <w:i w:val="0"/>
          <w:color w:val="17365D"/>
          <w:sz w:val="28"/>
        </w:rPr>
        <w:t>Рекомендации по подаче</w:t>
      </w:r>
    </w:p>
    <w:p>
      <w:pPr>
        <w:spacing w:after="120"/>
        <w:ind w:left="227"/>
      </w:pPr>
      <w:r>
        <w:rPr>
          <w:rFonts w:ascii="PT Sans" w:hAnsi="PT Sans"/>
          <w:b/>
          <w:color w:val="17365D"/>
          <w:sz w:val="22"/>
        </w:rPr>
        <w:t xml:space="preserve">1. </w:t>
      </w:r>
      <w:r>
        <w:rPr>
          <w:rFonts w:ascii="PT Sans" w:hAnsi="PT Sans"/>
          <w:sz w:val="22"/>
        </w:rPr>
        <w:t>Темп речи — около 140 слов в минуту. Если волнуетесь, делайте паузы по 1–2 секунды между разделами «Первая… Вторая… Третья…» — это даёт комиссии переварить цифры.</w:t>
      </w:r>
    </w:p>
    <w:p>
      <w:pPr>
        <w:spacing w:after="120"/>
        <w:ind w:left="227"/>
      </w:pPr>
      <w:r>
        <w:rPr>
          <w:rFonts w:ascii="PT Sans" w:hAnsi="PT Sans"/>
          <w:b/>
          <w:color w:val="17365D"/>
          <w:sz w:val="22"/>
        </w:rPr>
        <w:t xml:space="preserve">2. </w:t>
      </w:r>
      <w:r>
        <w:rPr>
          <w:rFonts w:ascii="PT Sans" w:hAnsi="PT Sans"/>
          <w:sz w:val="22"/>
        </w:rPr>
        <w:t>Цифры произносите чётко и медленно, остальное — обычным темпом. Запоминается то, что произнесено медленно.</w:t>
      </w:r>
    </w:p>
    <w:p>
      <w:pPr>
        <w:spacing w:after="120"/>
        <w:ind w:left="227"/>
      </w:pPr>
      <w:r>
        <w:rPr>
          <w:rFonts w:ascii="PT Sans" w:hAnsi="PT Sans"/>
          <w:b/>
          <w:color w:val="17365D"/>
          <w:sz w:val="22"/>
        </w:rPr>
        <w:t xml:space="preserve">3. </w:t>
      </w:r>
      <w:r>
        <w:rPr>
          <w:rFonts w:ascii="PT Sans" w:hAnsi="PT Sans"/>
          <w:sz w:val="22"/>
        </w:rPr>
        <w:t>Не читайте со слайда — слайд служит подкреплением, а не суфлёром. Если потеряетесь, бросьте взгляд на цифру и продолжайте по памяти.</w:t>
      </w:r>
    </w:p>
    <w:p>
      <w:pPr>
        <w:spacing w:after="120"/>
        <w:ind w:left="227"/>
      </w:pPr>
      <w:r>
        <w:rPr>
          <w:rFonts w:ascii="PT Sans" w:hAnsi="PT Sans"/>
          <w:b/>
          <w:color w:val="17365D"/>
          <w:sz w:val="22"/>
        </w:rPr>
        <w:t xml:space="preserve">4. </w:t>
      </w:r>
      <w:r>
        <w:rPr>
          <w:rFonts w:ascii="PT Sans" w:hAnsi="PT Sans"/>
          <w:sz w:val="22"/>
        </w:rPr>
        <w:t>Заранее прорепетируйте с секундомером 2–3 раза. Если стабильно укладываетесь в 4:50 — это ваш реальный темп; если в 5:10 — сократите 1–2 предложения в главе 2 или в выводах.</w:t>
      </w:r>
    </w:p>
    <w:p>
      <w:pPr>
        <w:spacing w:after="120"/>
        <w:ind w:left="227"/>
      </w:pPr>
      <w:r>
        <w:rPr>
          <w:rFonts w:ascii="PT Sans" w:hAnsi="PT Sans"/>
          <w:b/>
          <w:color w:val="17365D"/>
          <w:sz w:val="22"/>
        </w:rPr>
        <w:t xml:space="preserve">5. </w:t>
      </w:r>
      <w:r>
        <w:rPr>
          <w:rFonts w:ascii="PT Sans" w:hAnsi="PT Sans"/>
          <w:sz w:val="22"/>
        </w:rPr>
        <w:t>При переходе между слайдами — короткий жест рукой в сторону экрана: комиссия рефлекторно переводит взгляд.</w:t>
      </w:r>
    </w:p>
    <w:p>
      <w:pPr>
        <w:spacing w:after="240"/>
      </w:pPr>
    </w:p>
    <w:p>
      <w:pPr>
        <w:spacing w:before="0" w:after="160"/>
      </w:pPr>
      <w:r>
        <w:rPr>
          <w:rFonts w:ascii="PT Sans" w:hAnsi="PT Sans"/>
          <w:b/>
          <w:i w:val="0"/>
          <w:color w:val="17365D"/>
          <w:sz w:val="28"/>
        </w:rPr>
        <w:t>Ожидаемые вопросы комиссии и заготовки ответов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7365D"/>
          </w:tcPr>
          <w:p>
            <w:pPr>
              <w:jc w:val="center"/>
            </w:pPr>
            <w:r>
              <w:rPr>
                <w:rFonts w:ascii="PT Sans" w:hAnsi="PT Sans"/>
                <w:b/>
                <w:color w:val="FFFFFF"/>
                <w:sz w:val="22"/>
              </w:rPr>
              <w:t>Вопрос</w:t>
            </w:r>
          </w:p>
        </w:tc>
        <w:tc>
          <w:tcPr>
            <w:tcW w:type="dxa" w:w="5669"/>
            <w:shd w:val="clear" w:color="auto" w:fill="17365D"/>
          </w:tcPr>
          <w:p>
            <w:pPr>
              <w:jc w:val="center"/>
            </w:pPr>
            <w:r>
              <w:rPr>
                <w:rFonts w:ascii="PT Sans" w:hAnsi="PT Sans"/>
                <w:b/>
                <w:color w:val="FFFFFF"/>
                <w:sz w:val="22"/>
              </w:rPr>
              <w:t>Заготовка ответа</w:t>
            </w:r>
          </w:p>
        </w:tc>
      </w:tr>
      <w:tr>
        <w:tc>
          <w:tcPr>
            <w:tcW w:type="dxa" w:w="3969"/>
          </w:tcPr>
          <w:p>
            <w:r>
              <w:rPr>
                <w:rFonts w:ascii="PT Sans" w:hAnsi="PT Sans"/>
                <w:b/>
                <w:color w:val="17365D"/>
                <w:sz w:val="20"/>
              </w:rPr>
              <w:t>Почему ставка дисконтирования 23 %?</w:t>
            </w:r>
          </w:p>
        </w:tc>
        <w:tc>
          <w:tcPr>
            <w:tcW w:type="dxa" w:w="5669"/>
          </w:tcPr>
          <w:p>
            <w:r>
              <w:rPr>
                <w:rFonts w:ascii="PT Sans" w:hAnsi="PT Sans"/>
                <w:sz w:val="20"/>
              </w:rPr>
              <w:t>Кумулятивный метод: ключевая ставка ЦБ РФ 21 % + премия за риск 2 % для бюджетной сферы.</w:t>
            </w:r>
          </w:p>
        </w:tc>
      </w:tr>
      <w:tr>
        <w:tc>
          <w:tcPr>
            <w:tcW w:type="dxa" w:w="3969"/>
          </w:tcPr>
          <w:p>
            <w:r>
              <w:rPr>
                <w:rFonts w:ascii="PT Sans" w:hAnsi="PT Sans"/>
                <w:b/>
                <w:color w:val="17365D"/>
                <w:sz w:val="20"/>
              </w:rPr>
              <w:t>Почему именно эти 3 подразделения?</w:t>
            </w:r>
          </w:p>
        </w:tc>
        <w:tc>
          <w:tcPr>
            <w:tcW w:type="dxa" w:w="5669"/>
          </w:tcPr>
          <w:p>
            <w:r>
              <w:rPr>
                <w:rFonts w:ascii="PT Sans" w:hAnsi="PT Sans"/>
                <w:sz w:val="20"/>
              </w:rPr>
              <w:t>По 4 критериям: вспомогательный класс процессов, масштаб охвата, соответствие «Приоритет-2030», независимость кейсов (разные проректоры, разные ИС).</w:t>
            </w:r>
          </w:p>
        </w:tc>
      </w:tr>
      <w:tr>
        <w:tc>
          <w:tcPr>
            <w:tcW w:type="dxa" w:w="3969"/>
          </w:tcPr>
          <w:p>
            <w:r>
              <w:rPr>
                <w:rFonts w:ascii="PT Sans" w:hAnsi="PT Sans"/>
                <w:b/>
                <w:color w:val="17365D"/>
                <w:sz w:val="20"/>
              </w:rPr>
              <w:t>Куда денутся 17 высвобожденных сотрудников ЦРКП?</w:t>
            </w:r>
          </w:p>
        </w:tc>
        <w:tc>
          <w:tcPr>
            <w:tcW w:type="dxa" w:w="5669"/>
          </w:tcPr>
          <w:p>
            <w:r>
              <w:rPr>
                <w:rFonts w:ascii="PT Sans" w:hAnsi="PT Sans"/>
                <w:sz w:val="20"/>
              </w:rPr>
              <w:t>Не сокращение, а перераспределение на стратегические задачи (кадровый резерв, мониторинг, адаптация) — это указано в главе 3.</w:t>
            </w:r>
          </w:p>
        </w:tc>
      </w:tr>
      <w:tr>
        <w:tc>
          <w:tcPr>
            <w:tcW w:type="dxa" w:w="3969"/>
          </w:tcPr>
          <w:p>
            <w:r>
              <w:rPr>
                <w:rFonts w:ascii="PT Sans" w:hAnsi="PT Sans"/>
                <w:b/>
                <w:color w:val="17365D"/>
                <w:sz w:val="20"/>
              </w:rPr>
              <w:t>Почему IRR 215 % — не ошибка?</w:t>
            </w:r>
          </w:p>
        </w:tc>
        <w:tc>
          <w:tcPr>
            <w:tcW w:type="dxa" w:w="5669"/>
          </w:tcPr>
          <w:p>
            <w:r>
              <w:rPr>
                <w:rFonts w:ascii="PT Sans" w:hAnsi="PT Sans"/>
                <w:sz w:val="20"/>
              </w:rPr>
              <w:t>Низкие инвестиции (792,5 тыс. ₽) при высоком ежегодном денежном потоке (1,7 млн ₽). Анализ чувствительности подтверждает устойчивость.</w:t>
            </w:r>
          </w:p>
        </w:tc>
      </w:tr>
      <w:tr>
        <w:tc>
          <w:tcPr>
            <w:tcW w:type="dxa" w:w="3969"/>
          </w:tcPr>
          <w:p>
            <w:r>
              <w:rPr>
                <w:rFonts w:ascii="PT Sans" w:hAnsi="PT Sans"/>
                <w:b/>
                <w:color w:val="17365D"/>
                <w:sz w:val="20"/>
              </w:rPr>
              <w:t>Можно ли тиражировать на другие вузы?</w:t>
            </w:r>
          </w:p>
        </w:tc>
        <w:tc>
          <w:tcPr>
            <w:tcW w:type="dxa" w:w="5669"/>
          </w:tcPr>
          <w:p>
            <w:r>
              <w:rPr>
                <w:rFonts w:ascii="PT Sans" w:hAnsi="PT Sans"/>
                <w:sz w:val="20"/>
              </w:rPr>
              <w:t>Да, методика и инструменты тиражируемы; в работе обоснован методический подход применительно ко всем 7 федеральным университетам.</w:t>
            </w:r>
          </w:p>
        </w:tc>
      </w:tr>
      <w:tr>
        <w:tc>
          <w:tcPr>
            <w:tcW w:type="dxa" w:w="3969"/>
          </w:tcPr>
          <w:p>
            <w:r>
              <w:rPr>
                <w:rFonts w:ascii="PT Sans" w:hAnsi="PT Sans"/>
                <w:b/>
                <w:color w:val="17365D"/>
                <w:sz w:val="20"/>
              </w:rPr>
              <w:t>В чём научная новизна?</w:t>
            </w:r>
          </w:p>
        </w:tc>
        <w:tc>
          <w:tcPr>
            <w:tcW w:type="dxa" w:w="5669"/>
          </w:tcPr>
          <w:p>
            <w:r>
              <w:rPr>
                <w:rFonts w:ascii="PT Sans" w:hAnsi="PT Sans"/>
                <w:sz w:val="20"/>
              </w:rPr>
              <w:t>Трёхуровневая модель адаптации процессного подхода к вузу + комбинированное применение IDEF0+BPMN+EPC на едином методическом каркасе для трёх разнородных подразделений.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ans" w:hAnsi="PT Sans" w:cs="PT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