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/>
          <w:i w:val="0"/>
          <w:sz w:val="32"/>
        </w:rPr>
        <w:t>Текст выступления на защите ВКР</w:t>
      </w:r>
    </w:p>
    <w:p>
      <w:pPr>
        <w:spacing w:after="80"/>
        <w:jc w:val="center"/>
      </w:pPr>
      <w:r>
        <w:rPr>
          <w:rFonts w:ascii="Times New Roman" w:hAnsi="Times New Roman"/>
          <w:b w:val="0"/>
          <w:i/>
          <w:sz w:val="26"/>
        </w:rPr>
        <w:t>Тема: «Моделирование и анализ бизнес-процессов в образовательной организации»</w:t>
      </w:r>
    </w:p>
    <w:p>
      <w:pPr>
        <w:spacing w:after="200"/>
        <w:jc w:val="center"/>
      </w:pPr>
      <w:r>
        <w:rPr>
          <w:rFonts w:ascii="Times New Roman" w:hAnsi="Times New Roman"/>
          <w:b w:val="0"/>
          <w:i/>
          <w:color w:val="555555"/>
          <w:sz w:val="22"/>
        </w:rPr>
        <w:t>Регламент 5 минут · ~720 слов · темп ~150 слов/мин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1 — Титульный (~5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Добрый день, уважаемая комиссия!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2 — Актуальность (~30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Актуальность темы определяется тремя обстоятельствами, которые видны на слайде.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Первое — нормативное давление</w:t>
      </w:r>
      <w:r>
        <w:rPr>
          <w:rFonts w:ascii="Times New Roman" w:hAnsi="Times New Roman"/>
          <w:b w:val="0"/>
          <w:i w:val="0"/>
          <w:sz w:val="28"/>
        </w:rPr>
        <w:t xml:space="preserve">. Распоряжением Правительства Российской Федерации № 3759-р от 21 декабря 2021 года поставлена задача: к 2030 году </w:t>
      </w:r>
      <w:r>
        <w:rPr>
          <w:rFonts w:ascii="Times New Roman" w:hAnsi="Times New Roman"/>
          <w:b/>
          <w:i w:val="0"/>
          <w:sz w:val="28"/>
        </w:rPr>
        <w:t>95 %</w:t>
      </w:r>
      <w:r>
        <w:rPr>
          <w:rFonts w:ascii="Times New Roman" w:hAnsi="Times New Roman"/>
          <w:b w:val="0"/>
          <w:i w:val="0"/>
          <w:sz w:val="28"/>
        </w:rPr>
        <w:t xml:space="preserve"> управленческих процессов вузов должны быть переведены в электронный вид.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Второе — низкая зрелость отрасли</w:t>
      </w:r>
      <w:r>
        <w:rPr>
          <w:rFonts w:ascii="Times New Roman" w:hAnsi="Times New Roman"/>
          <w:b w:val="0"/>
          <w:i w:val="0"/>
          <w:sz w:val="28"/>
        </w:rPr>
        <w:t xml:space="preserve">. По данным исследования цифровой трансформации высшего образования НИУ ВШЭ, к группе «цифровых аутсайдеров» относятся </w:t>
      </w:r>
      <w:r>
        <w:rPr>
          <w:rFonts w:ascii="Times New Roman" w:hAnsi="Times New Roman"/>
          <w:b/>
          <w:i w:val="0"/>
          <w:sz w:val="28"/>
        </w:rPr>
        <w:t>29 %</w:t>
      </w:r>
      <w:r>
        <w:rPr>
          <w:rFonts w:ascii="Times New Roman" w:hAnsi="Times New Roman"/>
          <w:b w:val="0"/>
          <w:i w:val="0"/>
          <w:sz w:val="28"/>
        </w:rPr>
        <w:t xml:space="preserve"> российских вузов, и лишь 23 % — к группе лидеров.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Третье — кадровый и финансовый барьер</w:t>
      </w:r>
      <w:r>
        <w:rPr>
          <w:rFonts w:ascii="Times New Roman" w:hAnsi="Times New Roman"/>
          <w:b w:val="0"/>
          <w:i w:val="0"/>
          <w:sz w:val="28"/>
        </w:rPr>
        <w:t xml:space="preserve">. </w:t>
      </w:r>
      <w:r>
        <w:rPr>
          <w:rFonts w:ascii="Times New Roman" w:hAnsi="Times New Roman"/>
          <w:b/>
          <w:i w:val="0"/>
          <w:sz w:val="28"/>
        </w:rPr>
        <w:t>64 %</w:t>
      </w:r>
      <w:r>
        <w:rPr>
          <w:rFonts w:ascii="Times New Roman" w:hAnsi="Times New Roman"/>
          <w:b w:val="0"/>
          <w:i w:val="0"/>
          <w:sz w:val="28"/>
        </w:rPr>
        <w:t xml:space="preserve"> вузов главным препятствием цифровизации называют дефицит ИТ-кадров, 52 % — нехватку финансирования, 47 % — низкую цифровую грамотность сотрудников.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Совокупность этих факторов предопределила необходимость моделирования и анализа бизнес-процессов в образовательной организации.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3 — Цель и задачи исследования (~25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Актуальность позволила определить </w:t>
      </w:r>
      <w:r>
        <w:rPr>
          <w:rFonts w:ascii="Times New Roman" w:hAnsi="Times New Roman"/>
          <w:b/>
          <w:i w:val="0"/>
          <w:sz w:val="28"/>
        </w:rPr>
        <w:t>цель исследования</w:t>
      </w:r>
      <w:r>
        <w:rPr>
          <w:rFonts w:ascii="Times New Roman" w:hAnsi="Times New Roman"/>
          <w:b w:val="0"/>
          <w:i w:val="0"/>
          <w:sz w:val="28"/>
        </w:rPr>
        <w:t>, которая заключается в изучении теоретических основ моделирования и анализа бизнес-процессов и их практическом применении в деятельности структурных подразделений Казанского федерального университета — Дирекции музеев, Управления кадров и Управления документооборота и контроля.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Задачи исследования представлены на слайде.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4 — Результаты по задаче 1. Теоретико-методологическая база (~30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рамках первой задачи систематизирован понятийный аппарат и сформирован </w:t>
      </w:r>
      <w:r>
        <w:rPr>
          <w:rFonts w:ascii="Times New Roman" w:hAnsi="Times New Roman"/>
          <w:b/>
          <w:i w:val="0"/>
          <w:sz w:val="28"/>
        </w:rPr>
        <w:t>трёхуровневый методический стек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 стратегическом уровне применяется нотация </w:t>
      </w:r>
      <w:r>
        <w:rPr>
          <w:rFonts w:ascii="Times New Roman" w:hAnsi="Times New Roman"/>
          <w:b/>
          <w:i w:val="0"/>
          <w:sz w:val="28"/>
        </w:rPr>
        <w:t>IDEF0</w:t>
      </w:r>
      <w:r>
        <w:rPr>
          <w:rFonts w:ascii="Times New Roman" w:hAnsi="Times New Roman"/>
          <w:b w:val="0"/>
          <w:i w:val="0"/>
          <w:sz w:val="28"/>
        </w:rPr>
        <w:t xml:space="preserve">, на операционном — </w:t>
      </w:r>
      <w:r>
        <w:rPr>
          <w:rFonts w:ascii="Times New Roman" w:hAnsi="Times New Roman"/>
          <w:b/>
          <w:i w:val="0"/>
          <w:sz w:val="28"/>
        </w:rPr>
        <w:t>BPMN 2.0</w:t>
      </w:r>
      <w:r>
        <w:rPr>
          <w:rFonts w:ascii="Times New Roman" w:hAnsi="Times New Roman"/>
          <w:b w:val="0"/>
          <w:i w:val="0"/>
          <w:sz w:val="28"/>
        </w:rPr>
        <w:t xml:space="preserve">, на детальном — </w:t>
      </w:r>
      <w:r>
        <w:rPr>
          <w:rFonts w:ascii="Times New Roman" w:hAnsi="Times New Roman"/>
          <w:b/>
          <w:i w:val="0"/>
          <w:sz w:val="28"/>
        </w:rPr>
        <w:t>EPC</w:t>
      </w:r>
      <w:r>
        <w:rPr>
          <w:rFonts w:ascii="Times New Roman" w:hAnsi="Times New Roman"/>
          <w:b w:val="0"/>
          <w:i w:val="0"/>
          <w:sz w:val="28"/>
        </w:rPr>
        <w:t xml:space="preserve">. Для выявления потерь использованы инструменты </w:t>
      </w:r>
      <w:r>
        <w:rPr>
          <w:rFonts w:ascii="Times New Roman" w:hAnsi="Times New Roman"/>
          <w:b/>
          <w:i w:val="0"/>
          <w:sz w:val="28"/>
        </w:rPr>
        <w:t>бережливого производства</w:t>
      </w:r>
      <w:r>
        <w:rPr>
          <w:rFonts w:ascii="Times New Roman" w:hAnsi="Times New Roman"/>
          <w:b w:val="0"/>
          <w:i w:val="0"/>
          <w:sz w:val="28"/>
        </w:rPr>
        <w:t xml:space="preserve">: семь видов потерь Тайити Оно, классификация операций на действия, добавляющие ценность, не добавляющие, но необходимые, и не добавляющие и не необходимые, диаграмма Исикавы, метод 5С и цикл DMAIC. Для оценки решений — инвестиционные показатели </w:t>
      </w:r>
      <w:r>
        <w:rPr>
          <w:rFonts w:ascii="Times New Roman" w:hAnsi="Times New Roman"/>
          <w:b/>
          <w:i w:val="0"/>
          <w:sz w:val="28"/>
        </w:rPr>
        <w:t>NPV, IRR, DPP</w:t>
      </w:r>
      <w:r>
        <w:rPr>
          <w:rFonts w:ascii="Times New Roman" w:hAnsi="Times New Roman"/>
          <w:b w:val="0"/>
          <w:i w:val="0"/>
          <w:sz w:val="28"/>
        </w:rPr>
        <w:t xml:space="preserve"> и анализ чувствительности.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Этот стек далее единообразно применён ко всем трём подразделениям КФУ.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5 — Результаты по задаче 2. Положение КФУ в отрасли (~30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Во второй задаче на основе мониторинговых данных Министерства науки и высшего образования за 2020–2025 годы проведён сравнительный анализ КФУ и </w:t>
      </w:r>
      <w:r>
        <w:rPr>
          <w:rFonts w:ascii="Times New Roman" w:hAnsi="Times New Roman"/>
          <w:b/>
          <w:i w:val="0"/>
          <w:sz w:val="28"/>
        </w:rPr>
        <w:t>семи федеральных университетов России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КФУ занимает </w:t>
      </w:r>
      <w:r>
        <w:rPr>
          <w:rFonts w:ascii="Times New Roman" w:hAnsi="Times New Roman"/>
          <w:b/>
          <w:i w:val="0"/>
          <w:sz w:val="28"/>
        </w:rPr>
        <w:t>первое место</w:t>
      </w:r>
      <w:r>
        <w:rPr>
          <w:rFonts w:ascii="Times New Roman" w:hAnsi="Times New Roman"/>
          <w:b w:val="0"/>
          <w:i w:val="0"/>
          <w:sz w:val="28"/>
        </w:rPr>
        <w:t xml:space="preserve"> по среднему баллу ЕГЭ — </w:t>
      </w:r>
      <w:r>
        <w:rPr>
          <w:rFonts w:ascii="Times New Roman" w:hAnsi="Times New Roman"/>
          <w:b/>
          <w:i w:val="0"/>
          <w:sz w:val="28"/>
        </w:rPr>
        <w:t>74,2</w:t>
      </w:r>
      <w:r>
        <w:rPr>
          <w:rFonts w:ascii="Times New Roman" w:hAnsi="Times New Roman"/>
          <w:b w:val="0"/>
          <w:i w:val="0"/>
          <w:sz w:val="28"/>
        </w:rPr>
        <w:t xml:space="preserve"> — и по доле иностранных студентов — </w:t>
      </w:r>
      <w:r>
        <w:rPr>
          <w:rFonts w:ascii="Times New Roman" w:hAnsi="Times New Roman"/>
          <w:b/>
          <w:i w:val="0"/>
          <w:sz w:val="28"/>
        </w:rPr>
        <w:t>19,1 %</w:t>
      </w:r>
      <w:r>
        <w:rPr>
          <w:rFonts w:ascii="Times New Roman" w:hAnsi="Times New Roman"/>
          <w:b w:val="0"/>
          <w:i w:val="0"/>
          <w:sz w:val="28"/>
        </w:rPr>
        <w:t xml:space="preserve">, и </w:t>
      </w:r>
      <w:r>
        <w:rPr>
          <w:rFonts w:ascii="Times New Roman" w:hAnsi="Times New Roman"/>
          <w:b/>
          <w:i w:val="0"/>
          <w:sz w:val="28"/>
        </w:rPr>
        <w:t>второе место</w:t>
      </w:r>
      <w:r>
        <w:rPr>
          <w:rFonts w:ascii="Times New Roman" w:hAnsi="Times New Roman"/>
          <w:b w:val="0"/>
          <w:i w:val="0"/>
          <w:sz w:val="28"/>
        </w:rPr>
        <w:t xml:space="preserve"> — по доле внебюджетных доходов — </w:t>
      </w:r>
      <w:r>
        <w:rPr>
          <w:rFonts w:ascii="Times New Roman" w:hAnsi="Times New Roman"/>
          <w:b/>
          <w:i w:val="0"/>
          <w:sz w:val="28"/>
        </w:rPr>
        <w:t>46,2 %</w:t>
      </w:r>
      <w:r>
        <w:rPr>
          <w:rFonts w:ascii="Times New Roman" w:hAnsi="Times New Roman"/>
          <w:b w:val="0"/>
          <w:i w:val="0"/>
          <w:sz w:val="28"/>
        </w:rPr>
        <w:t xml:space="preserve"> — и по объёму НИОКР — </w:t>
      </w:r>
      <w:r>
        <w:rPr>
          <w:rFonts w:ascii="Times New Roman" w:hAnsi="Times New Roman"/>
          <w:b/>
          <w:i w:val="0"/>
          <w:sz w:val="28"/>
        </w:rPr>
        <w:t>2,53 миллиарда рублей</w:t>
      </w:r>
      <w:r>
        <w:rPr>
          <w:rFonts w:ascii="Times New Roman" w:hAnsi="Times New Roman"/>
          <w:b w:val="0"/>
          <w:i w:val="0"/>
          <w:sz w:val="28"/>
        </w:rPr>
        <w:t xml:space="preserve">. Конкурентные преимущества КФУ формируются в основных образовательных и научных процессах, а зоны управленческой неэффективности концентрируются во вспомогательных. Это и определило фокус практической части. Для углублённого анализа отобраны три подразделения: </w:t>
      </w:r>
      <w:r>
        <w:rPr>
          <w:rFonts w:ascii="Times New Roman" w:hAnsi="Times New Roman"/>
          <w:b/>
          <w:i w:val="0"/>
          <w:sz w:val="28"/>
        </w:rPr>
        <w:t>Дирекция музеев</w:t>
      </w:r>
      <w:r>
        <w:rPr>
          <w:rFonts w:ascii="Times New Roman" w:hAnsi="Times New Roman"/>
          <w:b w:val="0"/>
          <w:i w:val="0"/>
          <w:sz w:val="28"/>
        </w:rPr>
        <w:t xml:space="preserve"> — фонд 800 тысяч единиц хранения, </w:t>
      </w:r>
      <w:r>
        <w:rPr>
          <w:rFonts w:ascii="Times New Roman" w:hAnsi="Times New Roman"/>
          <w:b/>
          <w:i w:val="0"/>
          <w:sz w:val="28"/>
        </w:rPr>
        <w:t>Управление кадров</w:t>
      </w:r>
      <w:r>
        <w:rPr>
          <w:rFonts w:ascii="Times New Roman" w:hAnsi="Times New Roman"/>
          <w:b w:val="0"/>
          <w:i w:val="0"/>
          <w:sz w:val="28"/>
        </w:rPr>
        <w:t xml:space="preserve"> — 6 615 ППС, </w:t>
      </w:r>
      <w:r>
        <w:rPr>
          <w:rFonts w:ascii="Times New Roman" w:hAnsi="Times New Roman"/>
          <w:b/>
          <w:i w:val="0"/>
          <w:sz w:val="28"/>
        </w:rPr>
        <w:t>Управление документооборота и контроля</w:t>
      </w:r>
      <w:r>
        <w:rPr>
          <w:rFonts w:ascii="Times New Roman" w:hAnsi="Times New Roman"/>
          <w:b w:val="0"/>
          <w:i w:val="0"/>
          <w:sz w:val="28"/>
        </w:rPr>
        <w:t xml:space="preserve"> — архив 170 тысяч единиц.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6 — Результаты по задаче 3. Анализ текущего состояния AS IS (~50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Объектом исследования выступает Казанский федеральный университет. Для трёх отобранных подразделений построены девять моделей AS IS и выявлены три типовых узких места: ручной ввод, бумажный документооборот и ожидание ИТ-инфраструктуры.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В Дирекции музеев</w:t>
      </w:r>
      <w:r>
        <w:rPr>
          <w:rFonts w:ascii="Times New Roman" w:hAnsi="Times New Roman"/>
          <w:b w:val="0"/>
          <w:i w:val="0"/>
          <w:sz w:val="28"/>
        </w:rPr>
        <w:t xml:space="preserve"> регистрация одного экспоната в системе КАМИС занимает </w:t>
      </w:r>
      <w:r>
        <w:rPr>
          <w:rFonts w:ascii="Times New Roman" w:hAnsi="Times New Roman"/>
          <w:b/>
          <w:i w:val="0"/>
          <w:sz w:val="28"/>
        </w:rPr>
        <w:t>45 минут</w:t>
      </w:r>
      <w:r>
        <w:rPr>
          <w:rFonts w:ascii="Times New Roman" w:hAnsi="Times New Roman"/>
          <w:b w:val="0"/>
          <w:i w:val="0"/>
          <w:sz w:val="28"/>
        </w:rPr>
        <w:t xml:space="preserve">, фактическая производительность — </w:t>
      </w:r>
      <w:r>
        <w:rPr>
          <w:rFonts w:ascii="Times New Roman" w:hAnsi="Times New Roman"/>
          <w:b/>
          <w:i w:val="0"/>
          <w:sz w:val="28"/>
        </w:rPr>
        <w:t>9 экспонатов в день</w:t>
      </w:r>
      <w:r>
        <w:rPr>
          <w:rFonts w:ascii="Times New Roman" w:hAnsi="Times New Roman"/>
          <w:b w:val="0"/>
          <w:i w:val="0"/>
          <w:sz w:val="28"/>
        </w:rPr>
        <w:t xml:space="preserve"> при требуемых 20.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В Управлении кадров</w:t>
      </w:r>
      <w:r>
        <w:rPr>
          <w:rFonts w:ascii="Times New Roman" w:hAnsi="Times New Roman"/>
          <w:b w:val="0"/>
          <w:i w:val="0"/>
          <w:sz w:val="28"/>
        </w:rPr>
        <w:t xml:space="preserve"> обработка одного заявления о графике отпусков ППС занимает от 55 минут до </w:t>
      </w:r>
      <w:r>
        <w:rPr>
          <w:rFonts w:ascii="Times New Roman" w:hAnsi="Times New Roman"/>
          <w:b/>
          <w:i w:val="0"/>
          <w:sz w:val="28"/>
        </w:rPr>
        <w:t>7 рабочих дней</w:t>
      </w:r>
      <w:r>
        <w:rPr>
          <w:rFonts w:ascii="Times New Roman" w:hAnsi="Times New Roman"/>
          <w:b w:val="0"/>
          <w:i w:val="0"/>
          <w:sz w:val="28"/>
        </w:rPr>
        <w:t xml:space="preserve">, вовлекает 20 сотрудников и порождает </w:t>
      </w:r>
      <w:r>
        <w:rPr>
          <w:rFonts w:ascii="Times New Roman" w:hAnsi="Times New Roman"/>
          <w:b/>
          <w:i w:val="0"/>
          <w:sz w:val="28"/>
        </w:rPr>
        <w:t>192 минуты потерь</w:t>
      </w:r>
      <w:r>
        <w:rPr>
          <w:rFonts w:ascii="Times New Roman" w:hAnsi="Times New Roman"/>
          <w:b w:val="0"/>
          <w:i w:val="0"/>
          <w:sz w:val="28"/>
        </w:rPr>
        <w:t xml:space="preserve"> на цикл.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В Управлении документооборота</w:t>
      </w:r>
      <w:r>
        <w:rPr>
          <w:rFonts w:ascii="Times New Roman" w:hAnsi="Times New Roman"/>
          <w:b w:val="0"/>
          <w:i w:val="0"/>
          <w:sz w:val="28"/>
        </w:rPr>
        <w:t xml:space="preserve"> архив оцифрован лишь на </w:t>
      </w:r>
      <w:r>
        <w:rPr>
          <w:rFonts w:ascii="Times New Roman" w:hAnsi="Times New Roman"/>
          <w:b/>
          <w:i w:val="0"/>
          <w:sz w:val="28"/>
        </w:rPr>
        <w:t>12 %</w:t>
      </w:r>
      <w:r>
        <w:rPr>
          <w:rFonts w:ascii="Times New Roman" w:hAnsi="Times New Roman"/>
          <w:b w:val="0"/>
          <w:i w:val="0"/>
          <w:sz w:val="28"/>
        </w:rPr>
        <w:t xml:space="preserve">, регистрация одного входящего документа занимает 176 секунд, а согласование организационно-распорядительных документов сопровождается </w:t>
      </w:r>
      <w:r>
        <w:rPr>
          <w:rFonts w:ascii="Times New Roman" w:hAnsi="Times New Roman"/>
          <w:b/>
          <w:i w:val="0"/>
          <w:sz w:val="28"/>
        </w:rPr>
        <w:t>7 часами ожидания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сумме </w:t>
      </w:r>
      <w:r>
        <w:rPr>
          <w:rFonts w:ascii="Times New Roman" w:hAnsi="Times New Roman"/>
          <w:b/>
          <w:i w:val="0"/>
          <w:sz w:val="28"/>
        </w:rPr>
        <w:t>64 %</w:t>
      </w:r>
      <w:r>
        <w:rPr>
          <w:rFonts w:ascii="Times New Roman" w:hAnsi="Times New Roman"/>
          <w:b w:val="0"/>
          <w:i w:val="0"/>
          <w:sz w:val="28"/>
        </w:rPr>
        <w:t xml:space="preserve"> всех операций в исследованных процессах не добавляют ценности — то есть подлежат устранению или автоматизации.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7 — Результаты по задаче 4. Проектирование целевых процессов TO BE (~45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 задаче 4 разработаны девять моделей TO BE — по одной целевой модели в каждой из трёх нотаций для каждого подразделения. Совокупные инвестиции — </w:t>
      </w:r>
      <w:r>
        <w:rPr>
          <w:rFonts w:ascii="Times New Roman" w:hAnsi="Times New Roman"/>
          <w:b/>
          <w:i w:val="0"/>
          <w:sz w:val="28"/>
        </w:rPr>
        <w:t>792,5 тысячи рублей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Для Дирекции музеев</w:t>
      </w:r>
      <w:r>
        <w:rPr>
          <w:rFonts w:ascii="Times New Roman" w:hAnsi="Times New Roman"/>
          <w:b w:val="0"/>
          <w:i w:val="0"/>
          <w:sz w:val="28"/>
        </w:rPr>
        <w:t xml:space="preserve"> предложено разделение ролей с введением лаборанта, организация стационарной фотозоны по принципам 5С, стандартизация шаблонов карточек и асинхронная выгрузка в Госкаталог Музейного фонда. Время цикла сокращается с 45 до </w:t>
      </w:r>
      <w:r>
        <w:rPr>
          <w:rFonts w:ascii="Times New Roman" w:hAnsi="Times New Roman"/>
          <w:b/>
          <w:i w:val="0"/>
          <w:sz w:val="28"/>
        </w:rPr>
        <w:t>18 минут</w:t>
      </w:r>
      <w:r>
        <w:rPr>
          <w:rFonts w:ascii="Times New Roman" w:hAnsi="Times New Roman"/>
          <w:b w:val="0"/>
          <w:i w:val="0"/>
          <w:sz w:val="28"/>
        </w:rPr>
        <w:t xml:space="preserve">, производительность растёт </w:t>
      </w:r>
      <w:r>
        <w:rPr>
          <w:rFonts w:ascii="Times New Roman" w:hAnsi="Times New Roman"/>
          <w:b/>
          <w:i w:val="0"/>
          <w:sz w:val="28"/>
        </w:rPr>
        <w:t>в 3,3 раза</w:t>
      </w:r>
      <w:r>
        <w:rPr>
          <w:rFonts w:ascii="Times New Roman" w:hAnsi="Times New Roman"/>
          <w:b w:val="0"/>
          <w:i w:val="0"/>
          <w:sz w:val="28"/>
        </w:rPr>
        <w:t xml:space="preserve"> — с 9 до 30 экспонатов в день.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Для Управления кадров</w:t>
      </w:r>
      <w:r>
        <w:rPr>
          <w:rFonts w:ascii="Times New Roman" w:hAnsi="Times New Roman"/>
          <w:b w:val="0"/>
          <w:i w:val="0"/>
          <w:sz w:val="28"/>
        </w:rPr>
        <w:t xml:space="preserve"> — полный перевод процесса в платформу Битрикс24 «Предприятие» с электронной подписью, автоматическими уведомлениями и проверкой конфликтов расписания. Срок согласования сокращается с 5 дней до </w:t>
      </w:r>
      <w:r>
        <w:rPr>
          <w:rFonts w:ascii="Times New Roman" w:hAnsi="Times New Roman"/>
          <w:b/>
          <w:i w:val="0"/>
          <w:sz w:val="28"/>
        </w:rPr>
        <w:t>20 минут</w:t>
      </w:r>
      <w:r>
        <w:rPr>
          <w:rFonts w:ascii="Times New Roman" w:hAnsi="Times New Roman"/>
          <w:b w:val="0"/>
          <w:i w:val="0"/>
          <w:sz w:val="28"/>
        </w:rPr>
        <w:t xml:space="preserve">, трудоёмкость — с </w:t>
      </w:r>
      <w:r>
        <w:rPr>
          <w:rFonts w:ascii="Times New Roman" w:hAnsi="Times New Roman"/>
          <w:b/>
          <w:i w:val="0"/>
          <w:sz w:val="28"/>
        </w:rPr>
        <w:t>20 до 3 сотрудников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Для Управления документооборота</w:t>
      </w:r>
      <w:r>
        <w:rPr>
          <w:rFonts w:ascii="Times New Roman" w:hAnsi="Times New Roman"/>
          <w:b w:val="0"/>
          <w:i w:val="0"/>
          <w:sz w:val="28"/>
        </w:rPr>
        <w:t xml:space="preserve"> — комплекс из трёх решений: внедрение второго монитора (рост производительности регистрации на 21,9 %), оцифровка архива силами студентов с применением OCR (выдача справок — с 22 до 14 минут) и QR-маршрутизация исходящих писем (рост производительности обработки </w:t>
      </w:r>
      <w:r>
        <w:rPr>
          <w:rFonts w:ascii="Times New Roman" w:hAnsi="Times New Roman"/>
          <w:b/>
          <w:i w:val="0"/>
          <w:sz w:val="28"/>
        </w:rPr>
        <w:t>на 46,3 %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8 — Результаты по задаче 5. Экономическая эффективность (~40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Экономический расчёт построен на пятилетнем горизонте при ставке дисконтирования 23 %. Совокупные инвестиции — </w:t>
      </w:r>
      <w:r>
        <w:rPr>
          <w:rFonts w:ascii="Times New Roman" w:hAnsi="Times New Roman"/>
          <w:b/>
          <w:i w:val="0"/>
          <w:sz w:val="28"/>
        </w:rPr>
        <w:t>792,5 тысячи рублей</w:t>
      </w:r>
      <w:r>
        <w:rPr>
          <w:rFonts w:ascii="Times New Roman" w:hAnsi="Times New Roman"/>
          <w:b w:val="0"/>
          <w:i w:val="0"/>
          <w:sz w:val="28"/>
        </w:rPr>
        <w:t xml:space="preserve">, ежегодная экономия — </w:t>
      </w:r>
      <w:r>
        <w:rPr>
          <w:rFonts w:ascii="Times New Roman" w:hAnsi="Times New Roman"/>
          <w:b/>
          <w:i w:val="0"/>
          <w:sz w:val="28"/>
        </w:rPr>
        <w:t>7,07 миллиона рублей</w:t>
      </w:r>
      <w:r>
        <w:rPr>
          <w:rFonts w:ascii="Times New Roman" w:hAnsi="Times New Roman"/>
          <w:b w:val="0"/>
          <w:i w:val="0"/>
          <w:sz w:val="28"/>
        </w:rPr>
        <w:t xml:space="preserve">, ежегодные операционные затраты на поддержание решений — 5,36 миллиона рублей, чистый ежегодный эффект — </w:t>
      </w:r>
      <w:r>
        <w:rPr>
          <w:rFonts w:ascii="Times New Roman" w:hAnsi="Times New Roman"/>
          <w:b/>
          <w:i w:val="0"/>
          <w:sz w:val="28"/>
        </w:rPr>
        <w:t>1,71 миллиона рублей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Интегральные показатели: </w:t>
      </w:r>
      <w:r>
        <w:rPr>
          <w:rFonts w:ascii="Times New Roman" w:hAnsi="Times New Roman"/>
          <w:b/>
          <w:i w:val="0"/>
          <w:sz w:val="28"/>
        </w:rPr>
        <w:t>NPV — 4 миллиона рублей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Times New Roman" w:hAnsi="Times New Roman"/>
          <w:b/>
          <w:i w:val="0"/>
          <w:sz w:val="28"/>
        </w:rPr>
        <w:t>IRR — 215 %</w:t>
      </w:r>
      <w:r>
        <w:rPr>
          <w:rFonts w:ascii="Times New Roman" w:hAnsi="Times New Roman"/>
          <w:b w:val="0"/>
          <w:i w:val="0"/>
          <w:sz w:val="28"/>
        </w:rPr>
        <w:t xml:space="preserve">, дисконтированный срок окупаемости — </w:t>
      </w:r>
      <w:r>
        <w:rPr>
          <w:rFonts w:ascii="Times New Roman" w:hAnsi="Times New Roman"/>
          <w:b/>
          <w:i w:val="0"/>
          <w:sz w:val="28"/>
        </w:rPr>
        <w:t>около 7 месяцев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Анализ чувствительности подтверждает высокую устойчивость проекта: критическое значение денежного потока составляет лишь 16,5 % от планового, что соответствует </w:t>
      </w:r>
      <w:r>
        <w:rPr>
          <w:rFonts w:ascii="Times New Roman" w:hAnsi="Times New Roman"/>
          <w:b/>
          <w:i w:val="0"/>
          <w:sz w:val="28"/>
        </w:rPr>
        <w:t>запасу прочности 83 %</w:t>
      </w:r>
      <w:r>
        <w:rPr>
          <w:rFonts w:ascii="Times New Roman" w:hAnsi="Times New Roman"/>
          <w:b w:val="0"/>
          <w:i w:val="0"/>
          <w:sz w:val="28"/>
        </w:rPr>
        <w:t xml:space="preserve">. На основе абсолютного эффекта обоснована очерёдность внедрения: </w:t>
      </w:r>
      <w:r>
        <w:rPr>
          <w:rFonts w:ascii="Times New Roman" w:hAnsi="Times New Roman"/>
          <w:b/>
          <w:i w:val="0"/>
          <w:sz w:val="28"/>
        </w:rPr>
        <w:t>Управление кадров → Управление документооборота → Дирекция музеев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9 — Выводы (~35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 w:val="0"/>
          <w:i w:val="0"/>
          <w:sz w:val="28"/>
        </w:rPr>
        <w:t>По итогам работы можно сформулировать следующие выводы.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По первой главе</w:t>
      </w:r>
      <w:r>
        <w:rPr>
          <w:rFonts w:ascii="Times New Roman" w:hAnsi="Times New Roman"/>
          <w:b w:val="0"/>
          <w:i w:val="0"/>
          <w:sz w:val="28"/>
        </w:rPr>
        <w:t>: сформирован воспроизводимый трёхуровневый методический стек «IDEF0 + BPMN + EPC + Lean + инвестиционный анализ», применимый к любому подразделению вуза.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По второй главе</w:t>
      </w:r>
      <w:r>
        <w:rPr>
          <w:rFonts w:ascii="Times New Roman" w:hAnsi="Times New Roman"/>
          <w:b w:val="0"/>
          <w:i w:val="0"/>
          <w:sz w:val="28"/>
        </w:rPr>
        <w:t>: КФУ занимает лидирующие позиции среди семи федеральных университетов России, что делает его репрезентативной площадкой для апробации и тиражирования предложенных решений.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По третьей главе</w:t>
      </w:r>
      <w:r>
        <w:rPr>
          <w:rFonts w:ascii="Times New Roman" w:hAnsi="Times New Roman"/>
          <w:b w:val="0"/>
          <w:i w:val="0"/>
          <w:sz w:val="28"/>
        </w:rPr>
        <w:t xml:space="preserve">, во-первых, выявлены и формализованы три типовых узких места вспомогательных процессов вуза — ручной ввод, бумажный документооборот и ожидание ИТ; во-вторых, разработаны девять моделей TO BE, обеспечивающих сокращение трудоёмкости с 20 до 3 сотрудников в кадровом процессе и устранение 64 % операций без ценности; в-третьих, доказана экономическая эффективность преобразований — NPV </w:t>
      </w:r>
      <w:r>
        <w:rPr>
          <w:rFonts w:ascii="Times New Roman" w:hAnsi="Times New Roman"/>
          <w:b/>
          <w:i w:val="0"/>
          <w:sz w:val="28"/>
        </w:rPr>
        <w:t>4 миллиона рублей</w:t>
      </w:r>
      <w:r>
        <w:rPr>
          <w:rFonts w:ascii="Times New Roman" w:hAnsi="Times New Roman"/>
          <w:b w:val="0"/>
          <w:i w:val="0"/>
          <w:sz w:val="28"/>
        </w:rPr>
        <w:t xml:space="preserve"> при сроке окупаемости </w:t>
      </w:r>
      <w:r>
        <w:rPr>
          <w:rFonts w:ascii="Times New Roman" w:hAnsi="Times New Roman"/>
          <w:b/>
          <w:i w:val="0"/>
          <w:sz w:val="28"/>
        </w:rPr>
        <w:t>7 месяцев</w:t>
      </w:r>
      <w:r>
        <w:rPr>
          <w:rFonts w:ascii="Times New Roman" w:hAnsi="Times New Roman"/>
          <w:b w:val="0"/>
          <w:i w:val="0"/>
          <w:sz w:val="28"/>
        </w:rPr>
        <w:t>, а сами решения тиражируемы на остальные федеральные университеты Российской Федерации.</w:t>
      </w:r>
    </w:p>
    <w:p>
      <w:pPr>
        <w:spacing w:before="280" w:after="80"/>
      </w:pPr>
      <w:r>
        <w:rPr>
          <w:rFonts w:ascii="Times New Roman" w:hAnsi="Times New Roman"/>
          <w:b/>
          <w:i w:val="0"/>
          <w:color w:val="1F3A68"/>
          <w:sz w:val="26"/>
        </w:rPr>
        <w:t>Слайд 10 — Завершение (~5 секунд)</w:t>
      </w:r>
    </w:p>
    <w:p>
      <w:pPr>
        <w:spacing w:after="120" w:line="276" w:lineRule="auto"/>
        <w:jc w:val="both"/>
      </w:pPr>
      <w:r>
        <w:rPr>
          <w:rFonts w:ascii="Times New Roman" w:hAnsi="Times New Roman"/>
          <w:b/>
          <w:i w:val="0"/>
          <w:sz w:val="28"/>
        </w:rPr>
        <w:t>Спасибо за внимание! Готов(-а) ответить на ваши вопросы.</w:t>
      </w:r>
    </w:p>
    <w:p/>
    <w:p>
      <w:pPr>
        <w:pStyle w:val="Heading2"/>
      </w:pPr>
      <w:r>
        <w:rPr>
          <w:rFonts w:ascii="Times New Roman" w:hAnsi="Times New Roman"/>
          <w:color w:val="000000"/>
        </w:rPr>
        <w:t>Хронометраж выступления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Слайд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Содержание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Время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Приветствие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0:05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Актуальность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0:30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Цель и задачи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0:25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Задача 1 — теория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0:30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Задача 2 — отрасль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0:30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Задача 3 — AS IS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0:50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Задача 4 — TO BE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0:45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Задача 5 — экономика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0:40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9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Выводы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0:35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10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Завершение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 w:val="0"/>
                <w:i w:val="0"/>
                <w:sz w:val="24"/>
              </w:rPr>
              <w:t>0:05</w:t>
            </w:r>
          </w:p>
        </w:tc>
      </w:tr>
      <w:tr>
        <w:tc>
          <w:tcPr>
            <w:tcW w:type="dxa" w:w="332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Итого</w:t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</w:r>
          </w:p>
        </w:tc>
        <w:tc>
          <w:tcPr>
            <w:tcW w:type="dxa" w:w="3324"/>
          </w:tcPr>
          <w:p>
            <w:r>
              <w:rPr>
                <w:rFonts w:ascii="Times New Roman" w:hAnsi="Times New Roman"/>
                <w:b/>
                <w:i w:val="0"/>
                <w:sz w:val="24"/>
              </w:rPr>
              <w:t>≈ 5:00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color w:val="000000"/>
        </w:rPr>
        <w:t>Советы по выступлению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4"/>
        </w:rPr>
        <w:t>Тренируйтесь с секундомером — на первой репетиции обычно перебор 30–60 сек; режьте формулировки в задачах 1 и 2.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4"/>
        </w:rPr>
        <w:t>Не читайте с листа — ключевые цифры заучите наизусть, остальное пересказывайте своими словами.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4"/>
        </w:rPr>
        <w:t>Между слайдами — короткая пауза 1 сек, чтобы комиссия успела перевести взгляд на новый слайд.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4"/>
        </w:rPr>
        <w:t>Слайд 8 (экономика) — кульминация; говорите чуть медленнее, цифры NPV / IRR / DPP должны прозвучать максимально чётко.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4"/>
        </w:rPr>
        <w:t>Если коллеги-студенты не объявят тему и ФИО, на слайде 1 добавьте: «Меня зовут [ФИО], тема моей выпускной квалификационной работы — «Моделирование и анализ бизнес-процессов в образовательной организации»».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