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A16" w:rsidRPr="007333A2" w:rsidRDefault="008F7483" w:rsidP="007333A2">
      <w:pPr>
        <w:pStyle w:val="1"/>
        <w:spacing w:before="0" w:line="360" w:lineRule="auto"/>
        <w:ind w:right="-284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333A2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="00803978" w:rsidRPr="007333A2">
        <w:rPr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r w:rsidR="000078CC" w:rsidRPr="007333A2">
        <w:rPr>
          <w:rFonts w:ascii="Times New Roman" w:hAnsi="Times New Roman" w:cs="Times New Roman"/>
          <w:b/>
          <w:color w:val="auto"/>
          <w:sz w:val="28"/>
          <w:szCs w:val="28"/>
        </w:rPr>
        <w:t>АНАЛИЗ И ОПТИМИЗАЦИЯ БИЗНЕС-ПРОЦЕССОВ В АО «УНИСТРОЙ»</w:t>
      </w:r>
    </w:p>
    <w:p w:rsidR="00803978" w:rsidRPr="007333A2" w:rsidRDefault="008F7483" w:rsidP="007333A2">
      <w:pPr>
        <w:pStyle w:val="1"/>
        <w:spacing w:before="0" w:line="360" w:lineRule="auto"/>
        <w:ind w:right="-284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333A2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="00803978" w:rsidRPr="007333A2">
        <w:rPr>
          <w:rFonts w:ascii="Times New Roman" w:hAnsi="Times New Roman" w:cs="Times New Roman"/>
          <w:b/>
          <w:color w:val="auto"/>
          <w:sz w:val="28"/>
          <w:szCs w:val="28"/>
        </w:rPr>
        <w:t xml:space="preserve">.1. </w:t>
      </w:r>
      <w:r w:rsidR="000078CC" w:rsidRPr="007333A2">
        <w:rPr>
          <w:rFonts w:ascii="Times New Roman" w:hAnsi="Times New Roman" w:cs="Times New Roman"/>
          <w:b/>
          <w:color w:val="auto"/>
          <w:sz w:val="28"/>
          <w:szCs w:val="28"/>
        </w:rPr>
        <w:t>Организационно-экономическая характеристика АО «Унистрой»</w:t>
      </w:r>
    </w:p>
    <w:p w:rsidR="003A1F39" w:rsidRDefault="003A1F39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</w:p>
    <w:p w:rsidR="00BE49BF" w:rsidRDefault="007333A2" w:rsidP="00794FD8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</w:t>
      </w:r>
      <w:r w:rsidR="003A1F39">
        <w:rPr>
          <w:rFonts w:ascii="Times New Roman" w:hAnsi="Times New Roman" w:cs="Times New Roman"/>
          <w:sz w:val="28"/>
          <w:szCs w:val="28"/>
        </w:rPr>
        <w:t xml:space="preserve"> «Унистрой» входит в Группу «Джи-групп» (</w:t>
      </w:r>
      <w:r w:rsidR="003A1F3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A1F39" w:rsidRPr="003A1F39">
        <w:rPr>
          <w:rFonts w:ascii="Times New Roman" w:hAnsi="Times New Roman" w:cs="Times New Roman"/>
          <w:sz w:val="28"/>
          <w:szCs w:val="28"/>
        </w:rPr>
        <w:t>-</w:t>
      </w:r>
      <w:r w:rsidR="003A1F39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3A1F39">
        <w:rPr>
          <w:rFonts w:ascii="Times New Roman" w:hAnsi="Times New Roman" w:cs="Times New Roman"/>
          <w:sz w:val="28"/>
          <w:szCs w:val="28"/>
        </w:rPr>
        <w:t>)</w:t>
      </w:r>
      <w:r w:rsidR="00BE49BF">
        <w:rPr>
          <w:rFonts w:ascii="Times New Roman" w:hAnsi="Times New Roman" w:cs="Times New Roman"/>
          <w:sz w:val="28"/>
          <w:szCs w:val="28"/>
        </w:rPr>
        <w:t xml:space="preserve"> (таблица 3.1.1)</w:t>
      </w:r>
      <w:r w:rsidR="003A1F39" w:rsidRPr="003A1F39">
        <w:rPr>
          <w:rFonts w:ascii="Times New Roman" w:hAnsi="Times New Roman" w:cs="Times New Roman"/>
          <w:sz w:val="28"/>
          <w:szCs w:val="28"/>
        </w:rPr>
        <w:t>.</w:t>
      </w:r>
    </w:p>
    <w:p w:rsidR="00BE49BF" w:rsidRDefault="00BE49BF" w:rsidP="00BE49BF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3.1.1</w:t>
      </w:r>
    </w:p>
    <w:p w:rsidR="00136717" w:rsidRDefault="00BE49BF" w:rsidP="00BE49B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«Джи-групп»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122"/>
        <w:gridCol w:w="2104"/>
        <w:gridCol w:w="1416"/>
        <w:gridCol w:w="2008"/>
        <w:gridCol w:w="1984"/>
      </w:tblGrid>
      <w:tr w:rsidR="00136717" w:rsidTr="00BE49BF">
        <w:tc>
          <w:tcPr>
            <w:tcW w:w="2122" w:type="dxa"/>
          </w:tcPr>
          <w:p w:rsidR="00136717" w:rsidRPr="00BE49BF" w:rsidRDefault="00136717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 w:rsidRPr="00BE49BF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</w:p>
        </w:tc>
        <w:tc>
          <w:tcPr>
            <w:tcW w:w="2104" w:type="dxa"/>
          </w:tcPr>
          <w:p w:rsidR="00136717" w:rsidRPr="00BE49BF" w:rsidRDefault="00BE49BF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 w:rsidRPr="00BE49BF">
              <w:rPr>
                <w:rFonts w:ascii="Times New Roman" w:hAnsi="Times New Roman" w:cs="Times New Roman"/>
                <w:sz w:val="24"/>
                <w:szCs w:val="28"/>
              </w:rPr>
              <w:t xml:space="preserve">Дата регистрации </w:t>
            </w:r>
          </w:p>
        </w:tc>
        <w:tc>
          <w:tcPr>
            <w:tcW w:w="1416" w:type="dxa"/>
          </w:tcPr>
          <w:p w:rsidR="00136717" w:rsidRPr="00BE49BF" w:rsidRDefault="00BE49BF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ИНН</w:t>
            </w:r>
          </w:p>
        </w:tc>
        <w:tc>
          <w:tcPr>
            <w:tcW w:w="2008" w:type="dxa"/>
          </w:tcPr>
          <w:p w:rsidR="00136717" w:rsidRPr="00BE49BF" w:rsidRDefault="00BE49BF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Уставной капитал</w:t>
            </w:r>
          </w:p>
        </w:tc>
        <w:tc>
          <w:tcPr>
            <w:tcW w:w="1984" w:type="dxa"/>
          </w:tcPr>
          <w:p w:rsidR="00136717" w:rsidRPr="00BE49BF" w:rsidRDefault="00BE49BF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ОКВЭД</w:t>
            </w:r>
          </w:p>
        </w:tc>
      </w:tr>
      <w:tr w:rsidR="00136717" w:rsidTr="00BE49BF">
        <w:tc>
          <w:tcPr>
            <w:tcW w:w="2122" w:type="dxa"/>
          </w:tcPr>
          <w:p w:rsidR="00136717" w:rsidRPr="00BE49BF" w:rsidRDefault="00136717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 w:rsidRPr="00BE49BF">
              <w:rPr>
                <w:rFonts w:ascii="Times New Roman" w:hAnsi="Times New Roman" w:cs="Times New Roman"/>
                <w:sz w:val="24"/>
                <w:szCs w:val="28"/>
              </w:rPr>
              <w:t>АО «Джи-Групп»</w:t>
            </w:r>
          </w:p>
        </w:tc>
        <w:tc>
          <w:tcPr>
            <w:tcW w:w="2104" w:type="dxa"/>
          </w:tcPr>
          <w:p w:rsidR="00136717" w:rsidRPr="00BE49BF" w:rsidRDefault="00BE49BF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19.02.2021</w:t>
            </w:r>
          </w:p>
        </w:tc>
        <w:tc>
          <w:tcPr>
            <w:tcW w:w="1416" w:type="dxa"/>
          </w:tcPr>
          <w:p w:rsidR="00136717" w:rsidRPr="00BE49BF" w:rsidRDefault="00BE49BF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1660359180</w:t>
            </w:r>
          </w:p>
        </w:tc>
        <w:tc>
          <w:tcPr>
            <w:tcW w:w="2008" w:type="dxa"/>
          </w:tcPr>
          <w:p w:rsidR="00136717" w:rsidRPr="00BE49BF" w:rsidRDefault="00BE49BF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50 004 000 руб.</w:t>
            </w:r>
          </w:p>
        </w:tc>
        <w:tc>
          <w:tcPr>
            <w:tcW w:w="1984" w:type="dxa"/>
          </w:tcPr>
          <w:p w:rsidR="00136717" w:rsidRPr="00BE49BF" w:rsidRDefault="00BE49BF" w:rsidP="00BE49BF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70.22</w:t>
            </w:r>
          </w:p>
        </w:tc>
      </w:tr>
    </w:tbl>
    <w:p w:rsidR="00136717" w:rsidRPr="00BE49BF" w:rsidRDefault="00BE49BF" w:rsidP="00794FD8">
      <w:pPr>
        <w:spacing w:after="0" w:line="360" w:lineRule="auto"/>
        <w:ind w:right="-284" w:firstLine="709"/>
        <w:rPr>
          <w:rFonts w:ascii="Times New Roman" w:hAnsi="Times New Roman" w:cs="Times New Roman"/>
          <w:sz w:val="24"/>
          <w:szCs w:val="28"/>
        </w:rPr>
      </w:pPr>
      <w:r w:rsidRPr="00BE49BF">
        <w:rPr>
          <w:rFonts w:ascii="Times New Roman" w:hAnsi="Times New Roman" w:cs="Times New Roman"/>
          <w:sz w:val="24"/>
          <w:szCs w:val="28"/>
        </w:rPr>
        <w:t>Источник: составлено автором.</w:t>
      </w:r>
    </w:p>
    <w:p w:rsidR="00BE49BF" w:rsidRDefault="00BE49BF" w:rsidP="00794FD8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</w:p>
    <w:p w:rsidR="007333A2" w:rsidRDefault="003A1F39" w:rsidP="00794FD8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Головная компания </w:t>
      </w:r>
      <w:r w:rsidR="007333A2">
        <w:rPr>
          <w:rFonts w:ascii="Times New Roman" w:hAnsi="Times New Roman" w:cs="Times New Roman"/>
          <w:sz w:val="28"/>
          <w:szCs w:val="28"/>
        </w:rPr>
        <w:t xml:space="preserve">появилась в Казани в 1996 году, основатель Рашит Гильфанов начинал с небольших жилых объектов. Первый жилой комплекс сдан в 2005 году, это стало точкой перехода от точечной застройки к проектному подходу. </w:t>
      </w:r>
    </w:p>
    <w:p w:rsidR="007333A2" w:rsidRDefault="007333A2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2014 году</w:t>
      </w:r>
      <w:r w:rsidR="00794FD8">
        <w:rPr>
          <w:rFonts w:ascii="Times New Roman" w:hAnsi="Times New Roman" w:cs="Times New Roman"/>
          <w:sz w:val="28"/>
          <w:szCs w:val="28"/>
        </w:rPr>
        <w:t xml:space="preserve"> </w:t>
      </w:r>
      <w:r w:rsidR="00794FD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94FD8" w:rsidRPr="003A1F39">
        <w:rPr>
          <w:rFonts w:ascii="Times New Roman" w:hAnsi="Times New Roman" w:cs="Times New Roman"/>
          <w:sz w:val="28"/>
          <w:szCs w:val="28"/>
        </w:rPr>
        <w:t>-</w:t>
      </w:r>
      <w:r w:rsidR="00794FD8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794FD8">
        <w:rPr>
          <w:rFonts w:ascii="Times New Roman" w:hAnsi="Times New Roman" w:cs="Times New Roman"/>
          <w:sz w:val="28"/>
          <w:szCs w:val="28"/>
        </w:rPr>
        <w:t xml:space="preserve"> вывела бренд</w:t>
      </w:r>
      <w:r>
        <w:rPr>
          <w:rFonts w:ascii="Times New Roman" w:hAnsi="Times New Roman" w:cs="Times New Roman"/>
          <w:sz w:val="28"/>
          <w:szCs w:val="28"/>
        </w:rPr>
        <w:t xml:space="preserve"> «Унистрой» за пределы Татарстана – открыл продажи в Уфе. В 2016-м году девелопер зашел в Тольятти</w:t>
      </w:r>
      <w:r w:rsidR="003A1F39">
        <w:rPr>
          <w:rFonts w:ascii="Times New Roman" w:hAnsi="Times New Roman" w:cs="Times New Roman"/>
          <w:sz w:val="28"/>
          <w:szCs w:val="28"/>
        </w:rPr>
        <w:t xml:space="preserve">, через два года запустил бренд коммерческой недвижимости </w:t>
      </w:r>
      <w:r w:rsidR="003A1F39">
        <w:rPr>
          <w:rFonts w:ascii="Times New Roman" w:hAnsi="Times New Roman" w:cs="Times New Roman"/>
          <w:sz w:val="28"/>
          <w:szCs w:val="28"/>
          <w:lang w:val="en-US"/>
        </w:rPr>
        <w:t>UD</w:t>
      </w:r>
      <w:r w:rsidR="003A1F39" w:rsidRPr="003A1F39">
        <w:rPr>
          <w:rFonts w:ascii="Times New Roman" w:hAnsi="Times New Roman" w:cs="Times New Roman"/>
          <w:sz w:val="28"/>
          <w:szCs w:val="28"/>
        </w:rPr>
        <w:t>-</w:t>
      </w:r>
      <w:r w:rsidR="003A1F39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3A1F39">
        <w:rPr>
          <w:rFonts w:ascii="Times New Roman" w:hAnsi="Times New Roman" w:cs="Times New Roman"/>
          <w:sz w:val="28"/>
          <w:szCs w:val="28"/>
        </w:rPr>
        <w:t>. В 2019 году юридически оформилась управляющая компания – АО «УК» «Унистрой».</w:t>
      </w:r>
    </w:p>
    <w:p w:rsidR="00794FD8" w:rsidRDefault="00794FD8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2017 году группа заняла первое место в Татарстане по вводу жилья, эту позицию удерживала до 2024 года. В этот период сложилась трёх-брендовая модель: жильё «Унистрой», коммерция «</w:t>
      </w:r>
      <w:r>
        <w:rPr>
          <w:rFonts w:ascii="Times New Roman" w:hAnsi="Times New Roman" w:cs="Times New Roman"/>
          <w:sz w:val="28"/>
          <w:szCs w:val="28"/>
          <w:lang w:val="en-US"/>
        </w:rPr>
        <w:t>UD</w:t>
      </w:r>
      <w:r w:rsidRPr="00794F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sz w:val="28"/>
          <w:szCs w:val="28"/>
        </w:rPr>
        <w:t>», ИЖС «</w:t>
      </w:r>
      <w:r>
        <w:rPr>
          <w:rFonts w:ascii="Times New Roman" w:hAnsi="Times New Roman" w:cs="Times New Roman"/>
          <w:sz w:val="28"/>
          <w:szCs w:val="28"/>
          <w:lang w:val="en-US"/>
        </w:rPr>
        <w:t>Corner</w:t>
      </w:r>
      <w:r>
        <w:rPr>
          <w:rFonts w:ascii="Times New Roman" w:hAnsi="Times New Roman" w:cs="Times New Roman"/>
          <w:sz w:val="28"/>
          <w:szCs w:val="28"/>
        </w:rPr>
        <w:t xml:space="preserve">». Диверсификация снизила зависимость от одного сегмента. </w:t>
      </w:r>
    </w:p>
    <w:p w:rsidR="00794FD8" w:rsidRDefault="00794FD8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Федеральная экспансия ускорилась в 2021 году,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94F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794F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вышла в Санкт-Петербург и Екатеринбург. В 2022-м в Пермь, в 2024-м в Махачкалу и Нижний Новгород. На начало 2026 года география охватывает восемь городов</w:t>
      </w:r>
      <w:r w:rsidR="00EE27AD">
        <w:rPr>
          <w:rFonts w:ascii="Times New Roman" w:hAnsi="Times New Roman" w:cs="Times New Roman"/>
          <w:sz w:val="28"/>
          <w:szCs w:val="28"/>
        </w:rPr>
        <w:t xml:space="preserve"> (рисунок 3.1.1)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E27AD" w:rsidRDefault="00EE27AD" w:rsidP="00BE49BF">
      <w:pPr>
        <w:spacing w:after="0" w:line="36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:rsidR="00EE27AD" w:rsidRDefault="00BE49BF" w:rsidP="00EE27AD">
      <w:pPr>
        <w:spacing w:after="0" w:line="240" w:lineRule="auto"/>
        <w:ind w:right="-284" w:firstLine="709"/>
        <w:rPr>
          <w:rFonts w:ascii="Times New Roman" w:hAnsi="Times New Roman" w:cs="Times New Roman"/>
          <w:sz w:val="24"/>
          <w:szCs w:val="28"/>
        </w:rPr>
      </w:pPr>
      <w:r w:rsidRPr="00EE27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3EF75BDB" wp14:editId="328BADF6">
            <wp:simplePos x="0" y="0"/>
            <wp:positionH relativeFrom="column">
              <wp:posOffset>77333</wp:posOffset>
            </wp:positionH>
            <wp:positionV relativeFrom="paragraph">
              <wp:posOffset>80</wp:posOffset>
            </wp:positionV>
            <wp:extent cx="5940425" cy="2828925"/>
            <wp:effectExtent l="0" t="0" r="3175" b="9525"/>
            <wp:wrapTopAndBottom/>
            <wp:docPr id="2" name="Рисунок 2" descr="C:\Users\Basto\Downloads\2026-05-21_19-59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sto\Downloads\2026-05-21_19-59-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27AD" w:rsidRPr="00EE27AD">
        <w:rPr>
          <w:rFonts w:ascii="Times New Roman" w:hAnsi="Times New Roman" w:cs="Times New Roman"/>
          <w:sz w:val="24"/>
          <w:szCs w:val="28"/>
        </w:rPr>
        <w:t>Источник: Годовой̆ отчет АО «Джи групп» за 2024 год</w:t>
      </w:r>
      <w:r w:rsidR="00EE27AD">
        <w:rPr>
          <w:rFonts w:ascii="Times New Roman" w:hAnsi="Times New Roman" w:cs="Times New Roman"/>
          <w:sz w:val="24"/>
          <w:szCs w:val="28"/>
        </w:rPr>
        <w:t xml:space="preserve"> </w:t>
      </w:r>
      <w:r w:rsidR="00EE27AD" w:rsidRPr="00EE27AD">
        <w:rPr>
          <w:rFonts w:ascii="Times New Roman" w:hAnsi="Times New Roman" w:cs="Times New Roman"/>
          <w:sz w:val="24"/>
          <w:szCs w:val="28"/>
        </w:rPr>
        <w:t>[</w:t>
      </w:r>
      <w:r w:rsidR="00EE27AD">
        <w:rPr>
          <w:rFonts w:ascii="Times New Roman" w:hAnsi="Times New Roman" w:cs="Times New Roman"/>
          <w:sz w:val="24"/>
          <w:szCs w:val="28"/>
        </w:rPr>
        <w:t>Электронный ресурс</w:t>
      </w:r>
      <w:r w:rsidR="00EE27AD" w:rsidRPr="00EE27AD">
        <w:rPr>
          <w:rFonts w:ascii="Times New Roman" w:hAnsi="Times New Roman" w:cs="Times New Roman"/>
          <w:sz w:val="24"/>
          <w:szCs w:val="28"/>
        </w:rPr>
        <w:t>]</w:t>
      </w:r>
      <w:r w:rsidR="00EE27AD">
        <w:rPr>
          <w:rFonts w:ascii="Times New Roman" w:hAnsi="Times New Roman" w:cs="Times New Roman"/>
          <w:sz w:val="24"/>
          <w:szCs w:val="28"/>
        </w:rPr>
        <w:t xml:space="preserve"> // - Режим доступа: </w:t>
      </w:r>
      <w:r w:rsidR="00EE27AD" w:rsidRPr="00EE27AD">
        <w:rPr>
          <w:rFonts w:ascii="Times New Roman" w:hAnsi="Times New Roman" w:cs="Times New Roman"/>
          <w:sz w:val="24"/>
          <w:szCs w:val="28"/>
        </w:rPr>
        <w:t>file:///C:/Users/Basto/Desktop/дипла/МАТЕРИАЛЫ/Годовой_отчет_АО_Джи_групп_за_2024_год.pdf</w:t>
      </w:r>
    </w:p>
    <w:p w:rsidR="00EE27AD" w:rsidRPr="00EE27AD" w:rsidRDefault="00EE27AD" w:rsidP="00EE27AD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 w:rsidRPr="00EE27AD">
        <w:rPr>
          <w:rFonts w:ascii="Times New Roman" w:hAnsi="Times New Roman" w:cs="Times New Roman"/>
          <w:sz w:val="28"/>
          <w:szCs w:val="28"/>
        </w:rPr>
        <w:t>Рис. 3.1.1 - История развития компании «</w:t>
      </w:r>
      <w:r w:rsidRPr="00EE27A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E27AD">
        <w:rPr>
          <w:rFonts w:ascii="Times New Roman" w:hAnsi="Times New Roman" w:cs="Times New Roman"/>
          <w:sz w:val="28"/>
          <w:szCs w:val="28"/>
        </w:rPr>
        <w:t>-</w:t>
      </w:r>
      <w:r w:rsidRPr="00EE27AD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EE27AD">
        <w:rPr>
          <w:rFonts w:ascii="Times New Roman" w:hAnsi="Times New Roman" w:cs="Times New Roman"/>
          <w:sz w:val="28"/>
          <w:szCs w:val="28"/>
        </w:rPr>
        <w:t>»</w:t>
      </w:r>
    </w:p>
    <w:p w:rsidR="00EE27AD" w:rsidRDefault="00EE27AD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</w:p>
    <w:p w:rsidR="00794FD8" w:rsidRDefault="00794FD8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Отдельный этап – переход на проектное финансирование через эскроу-счета. Банки партнёры: Сбербанк и ДОМ.РФ. Новые правила заставили жёстко соблюдать графики строительства. Любое отставание ведёт к штрафам и удорожание кредитов. </w:t>
      </w:r>
    </w:p>
    <w:p w:rsidR="00794FD8" w:rsidRDefault="00794FD8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Объём построенного жилья за 29 лет с</w:t>
      </w:r>
      <w:r w:rsidR="00EE27AD">
        <w:rPr>
          <w:rFonts w:ascii="Times New Roman" w:hAnsi="Times New Roman" w:cs="Times New Roman"/>
          <w:sz w:val="28"/>
          <w:szCs w:val="28"/>
        </w:rPr>
        <w:t xml:space="preserve">оставил 2,4 млн. кв. м. Квартиры получили 42 </w:t>
      </w:r>
      <w:r w:rsidR="00475BAD">
        <w:rPr>
          <w:rFonts w:ascii="Times New Roman" w:hAnsi="Times New Roman" w:cs="Times New Roman"/>
          <w:sz w:val="28"/>
          <w:szCs w:val="28"/>
        </w:rPr>
        <w:t>тыс. семей. В 2025 году фактиче</w:t>
      </w:r>
      <w:r w:rsidR="00EE27AD">
        <w:rPr>
          <w:rFonts w:ascii="Times New Roman" w:hAnsi="Times New Roman" w:cs="Times New Roman"/>
          <w:sz w:val="28"/>
          <w:szCs w:val="28"/>
        </w:rPr>
        <w:t xml:space="preserve">ский ввод жилья составил 271,7 тыс. кв. м – на </w:t>
      </w:r>
      <w:r w:rsidR="00F608E5">
        <w:rPr>
          <w:rFonts w:ascii="Times New Roman" w:hAnsi="Times New Roman" w:cs="Times New Roman"/>
          <w:sz w:val="28"/>
          <w:szCs w:val="28"/>
        </w:rPr>
        <w:t>4% выше плана (рисунок 3.1.2).</w:t>
      </w:r>
    </w:p>
    <w:p w:rsidR="00F608E5" w:rsidRDefault="00F608E5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5D8DAD" wp14:editId="671118A3">
            <wp:extent cx="5624195" cy="2314937"/>
            <wp:effectExtent l="0" t="0" r="14605" b="952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F608E5" w:rsidRDefault="00F608E5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 w:rsidRPr="00F608E5">
        <w:rPr>
          <w:rFonts w:ascii="Times New Roman" w:hAnsi="Times New Roman" w:cs="Times New Roman"/>
          <w:sz w:val="24"/>
          <w:szCs w:val="28"/>
        </w:rPr>
        <w:t>Источник: составлено на основе данных в сводном отчете компании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08E5" w:rsidRDefault="00F608E5" w:rsidP="007333A2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3.1.2 – Объём ввода жилья за период 2018-2025 года.</w:t>
      </w:r>
    </w:p>
    <w:p w:rsidR="00F608E5" w:rsidRDefault="00F608E5" w:rsidP="00F608E5">
      <w:pPr>
        <w:spacing w:after="0" w:line="36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:rsidR="00F608E5" w:rsidRDefault="00F608E5" w:rsidP="00F608E5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конец 2025 года в портфеле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608E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sz w:val="28"/>
          <w:szCs w:val="28"/>
        </w:rPr>
        <w:t xml:space="preserve"> числилось 19 строящихся жилых комплексов. Ключевые объекты: ЖК «Статум» (лучший ЖК на форуме «Казаныш» - 2022), ЖК «Лето» (лучший мастер-план), эко-комплекс «Царёво</w:t>
      </w:r>
      <w:r w:rsidRPr="00F608E5">
        <w:rPr>
          <w:rFonts w:ascii="Times New Roman" w:hAnsi="Times New Roman" w:cs="Times New Roman"/>
          <w:sz w:val="28"/>
          <w:szCs w:val="28"/>
        </w:rPr>
        <w:t xml:space="preserve"> </w:t>
      </w:r>
      <w:r w:rsidR="001F7719">
        <w:rPr>
          <w:rFonts w:ascii="Times New Roman" w:hAnsi="Times New Roman" w:cs="Times New Roman"/>
          <w:sz w:val="28"/>
          <w:szCs w:val="28"/>
          <w:lang w:val="en-US"/>
        </w:rPr>
        <w:t>Village</w:t>
      </w:r>
      <w:r>
        <w:rPr>
          <w:rFonts w:ascii="Times New Roman" w:hAnsi="Times New Roman" w:cs="Times New Roman"/>
          <w:sz w:val="28"/>
          <w:szCs w:val="28"/>
        </w:rPr>
        <w:t>» (лучший малоэтажный ЖК ПФО).</w:t>
      </w:r>
    </w:p>
    <w:p w:rsidR="00544D33" w:rsidRDefault="00F608E5" w:rsidP="00E17254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Екатеринбурге компания готовит площадку на месте стадиона РТИ – 150 кв. м. </w:t>
      </w:r>
      <w:r w:rsidR="005B1EA0">
        <w:rPr>
          <w:rFonts w:ascii="Times New Roman" w:hAnsi="Times New Roman" w:cs="Times New Roman"/>
          <w:sz w:val="28"/>
          <w:szCs w:val="28"/>
        </w:rPr>
        <w:t>Строятся следующие очереди «Небосклонов», «Риверсайда»</w:t>
      </w:r>
      <w:r w:rsidR="000417B1">
        <w:rPr>
          <w:rFonts w:ascii="Times New Roman" w:hAnsi="Times New Roman" w:cs="Times New Roman"/>
          <w:sz w:val="28"/>
          <w:szCs w:val="28"/>
        </w:rPr>
        <w:t xml:space="preserve"> и «Паркового квартала 2.0».</w:t>
      </w:r>
      <w:r w:rsidR="005B1E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Перми получено разрешение </w:t>
      </w:r>
      <w:r w:rsidR="001F7719">
        <w:rPr>
          <w:rFonts w:ascii="Times New Roman" w:hAnsi="Times New Roman" w:cs="Times New Roman"/>
          <w:sz w:val="28"/>
          <w:szCs w:val="28"/>
        </w:rPr>
        <w:t>на первую очередь ЖК на ул. Барамзиной</w:t>
      </w:r>
      <w:r w:rsidR="000417B1">
        <w:rPr>
          <w:rFonts w:ascii="Times New Roman" w:hAnsi="Times New Roman" w:cs="Times New Roman"/>
          <w:sz w:val="28"/>
          <w:szCs w:val="28"/>
        </w:rPr>
        <w:t xml:space="preserve">, вторая очередь «Причала» и ЖК на ул. Трамвайной. В Тольятти – ЖК «Южный Бульвар-2», в Санкт-Петербурге –новые корпуса «Лисино». В Махачкале стартовал проект «Гранд Берег» (19-ти этажный дом». </w:t>
      </w:r>
      <w:r w:rsidR="001F7719">
        <w:rPr>
          <w:rFonts w:ascii="Times New Roman" w:hAnsi="Times New Roman" w:cs="Times New Roman"/>
          <w:sz w:val="28"/>
          <w:szCs w:val="28"/>
        </w:rPr>
        <w:t xml:space="preserve">В Богородском районе под Казанью пришлось скорректировать проект: объём снизился с 500 тыс. до меньших показателей. </w:t>
      </w:r>
    </w:p>
    <w:p w:rsidR="00E17254" w:rsidRDefault="00E17254" w:rsidP="00E17254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 w:rsidRPr="00E172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05AF45E9" wp14:editId="3019AE86">
            <wp:simplePos x="0" y="0"/>
            <wp:positionH relativeFrom="column">
              <wp:posOffset>2507366</wp:posOffset>
            </wp:positionH>
            <wp:positionV relativeFrom="paragraph">
              <wp:posOffset>617220</wp:posOffset>
            </wp:positionV>
            <wp:extent cx="3359150" cy="3344545"/>
            <wp:effectExtent l="0" t="0" r="0" b="8255"/>
            <wp:wrapTopAndBottom/>
            <wp:docPr id="9" name="Рисунок 9" descr="C:\Users\Basto\Downloads\2026-05-21_22-13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asto\Downloads\2026-05-21_22-13-1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7719">
        <w:rPr>
          <w:rFonts w:ascii="Times New Roman" w:hAnsi="Times New Roman" w:cs="Times New Roman"/>
          <w:sz w:val="28"/>
          <w:szCs w:val="28"/>
        </w:rPr>
        <w:t>Реализованные проекты. Флагман Казани «ART City» на 32 га</w:t>
      </w:r>
      <w:r>
        <w:rPr>
          <w:rFonts w:ascii="Times New Roman" w:hAnsi="Times New Roman" w:cs="Times New Roman"/>
          <w:sz w:val="28"/>
          <w:szCs w:val="28"/>
        </w:rPr>
        <w:t xml:space="preserve"> (рисунок 3.1.3)</w:t>
      </w:r>
      <w:r w:rsidR="001F771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17254" w:rsidRDefault="00E17254" w:rsidP="00E17254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5B1EA0">
        <w:rPr>
          <w:rFonts w:ascii="Times New Roman" w:hAnsi="Times New Roman" w:cs="Times New Roman"/>
          <w:sz w:val="24"/>
          <w:szCs w:val="28"/>
        </w:rPr>
        <w:t xml:space="preserve">Источник: </w:t>
      </w:r>
      <w:r>
        <w:rPr>
          <w:rFonts w:ascii="Times New Roman" w:hAnsi="Times New Roman" w:cs="Times New Roman"/>
          <w:sz w:val="24"/>
          <w:szCs w:val="28"/>
        </w:rPr>
        <w:t>составлено автором на основе предоставленных данных от компании.</w:t>
      </w:r>
    </w:p>
    <w:p w:rsidR="00E17254" w:rsidRDefault="00E17254" w:rsidP="00E17254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E17254" w:rsidRDefault="00E17254" w:rsidP="00E17254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EA0">
        <w:rPr>
          <w:rFonts w:ascii="Times New Roman" w:hAnsi="Times New Roman" w:cs="Times New Roman"/>
          <w:sz w:val="28"/>
          <w:szCs w:val="28"/>
        </w:rPr>
        <w:t xml:space="preserve">Рис. 3.1.3 –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EA0">
        <w:rPr>
          <w:rFonts w:ascii="Times New Roman" w:hAnsi="Times New Roman" w:cs="Times New Roman"/>
          <w:sz w:val="28"/>
          <w:szCs w:val="28"/>
        </w:rPr>
        <w:t>ЖК «</w:t>
      </w:r>
      <w:r w:rsidRPr="005B1EA0">
        <w:rPr>
          <w:rFonts w:ascii="Times New Roman" w:hAnsi="Times New Roman" w:cs="Times New Roman"/>
          <w:sz w:val="28"/>
          <w:szCs w:val="28"/>
          <w:lang w:val="en-US"/>
        </w:rPr>
        <w:t>ART</w:t>
      </w:r>
      <w:r w:rsidRPr="00F235DA">
        <w:rPr>
          <w:rFonts w:ascii="Times New Roman" w:hAnsi="Times New Roman" w:cs="Times New Roman"/>
          <w:sz w:val="28"/>
          <w:szCs w:val="28"/>
        </w:rPr>
        <w:t xml:space="preserve"> </w:t>
      </w:r>
      <w:r w:rsidRPr="005B1EA0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5B1EA0">
        <w:rPr>
          <w:rFonts w:ascii="Times New Roman" w:hAnsi="Times New Roman" w:cs="Times New Roman"/>
          <w:sz w:val="28"/>
          <w:szCs w:val="28"/>
        </w:rPr>
        <w:t>»</w:t>
      </w:r>
    </w:p>
    <w:p w:rsidR="000417B1" w:rsidRDefault="00E17254" w:rsidP="00E17254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Генеральному плану п</w:t>
      </w:r>
      <w:r w:rsidR="001F7719">
        <w:rPr>
          <w:rFonts w:ascii="Times New Roman" w:hAnsi="Times New Roman" w:cs="Times New Roman"/>
          <w:sz w:val="28"/>
          <w:szCs w:val="28"/>
        </w:rPr>
        <w:t>роект объединил   16 домов, общественные пространства и развитую инфраструктуру (рисунок 3.1.</w:t>
      </w:r>
      <w:r>
        <w:rPr>
          <w:rFonts w:ascii="Times New Roman" w:hAnsi="Times New Roman" w:cs="Times New Roman"/>
          <w:sz w:val="28"/>
          <w:szCs w:val="28"/>
        </w:rPr>
        <w:t>4</w:t>
      </w:r>
      <w:r w:rsidR="001F7719">
        <w:rPr>
          <w:rFonts w:ascii="Times New Roman" w:hAnsi="Times New Roman" w:cs="Times New Roman"/>
          <w:sz w:val="28"/>
          <w:szCs w:val="28"/>
        </w:rPr>
        <w:t>).</w:t>
      </w:r>
      <w:r w:rsidR="000417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DA" w:rsidRDefault="001F7719" w:rsidP="00F608E5">
      <w:pPr>
        <w:spacing w:after="0" w:line="360" w:lineRule="auto"/>
        <w:ind w:right="-284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1F7719" w:rsidRDefault="00F235DA" w:rsidP="00F608E5">
      <w:pPr>
        <w:spacing w:after="0" w:line="36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  <w:r w:rsidRPr="00F235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59755" cy="4143737"/>
            <wp:effectExtent l="0" t="0" r="0" b="9525"/>
            <wp:docPr id="7" name="Рисунок 7" descr="C:\Users\Basto\Downloads\2026-05-21_21-59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asto\Downloads\2026-05-21_21-59-5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293" cy="416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35D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5B1EA0" w:rsidRDefault="005B1EA0" w:rsidP="005B1EA0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5B1EA0">
        <w:rPr>
          <w:rFonts w:ascii="Times New Roman" w:hAnsi="Times New Roman" w:cs="Times New Roman"/>
          <w:sz w:val="24"/>
          <w:szCs w:val="28"/>
        </w:rPr>
        <w:t xml:space="preserve">Источник: </w:t>
      </w:r>
      <w:r w:rsidR="00F235DA">
        <w:rPr>
          <w:rFonts w:ascii="Times New Roman" w:hAnsi="Times New Roman" w:cs="Times New Roman"/>
          <w:sz w:val="24"/>
          <w:szCs w:val="28"/>
        </w:rPr>
        <w:t>составлено автором на основе предоставленных данных от компании.</w:t>
      </w:r>
    </w:p>
    <w:p w:rsidR="005B1EA0" w:rsidRDefault="005B1EA0" w:rsidP="005B1EA0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5B1EA0" w:rsidRDefault="005B1EA0" w:rsidP="005B1EA0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EA0">
        <w:rPr>
          <w:rFonts w:ascii="Times New Roman" w:hAnsi="Times New Roman" w:cs="Times New Roman"/>
          <w:sz w:val="28"/>
          <w:szCs w:val="28"/>
        </w:rPr>
        <w:t>Рис. 3.1.</w:t>
      </w:r>
      <w:r w:rsidR="00E17254">
        <w:rPr>
          <w:rFonts w:ascii="Times New Roman" w:hAnsi="Times New Roman" w:cs="Times New Roman"/>
          <w:sz w:val="28"/>
          <w:szCs w:val="28"/>
        </w:rPr>
        <w:t>4</w:t>
      </w:r>
      <w:r w:rsidRPr="005B1EA0">
        <w:rPr>
          <w:rFonts w:ascii="Times New Roman" w:hAnsi="Times New Roman" w:cs="Times New Roman"/>
          <w:sz w:val="28"/>
          <w:szCs w:val="28"/>
        </w:rPr>
        <w:t xml:space="preserve"> – </w:t>
      </w:r>
      <w:r w:rsidR="00F235DA">
        <w:rPr>
          <w:rFonts w:ascii="Times New Roman" w:hAnsi="Times New Roman" w:cs="Times New Roman"/>
          <w:sz w:val="28"/>
          <w:szCs w:val="28"/>
        </w:rPr>
        <w:t xml:space="preserve"> Генеральный план </w:t>
      </w:r>
      <w:r w:rsidRPr="005B1EA0">
        <w:rPr>
          <w:rFonts w:ascii="Times New Roman" w:hAnsi="Times New Roman" w:cs="Times New Roman"/>
          <w:sz w:val="28"/>
          <w:szCs w:val="28"/>
        </w:rPr>
        <w:t>ЖК «</w:t>
      </w:r>
      <w:r w:rsidRPr="005B1EA0">
        <w:rPr>
          <w:rFonts w:ascii="Times New Roman" w:hAnsi="Times New Roman" w:cs="Times New Roman"/>
          <w:sz w:val="28"/>
          <w:szCs w:val="28"/>
          <w:lang w:val="en-US"/>
        </w:rPr>
        <w:t>ART</w:t>
      </w:r>
      <w:r w:rsidRPr="00F235DA">
        <w:rPr>
          <w:rFonts w:ascii="Times New Roman" w:hAnsi="Times New Roman" w:cs="Times New Roman"/>
          <w:sz w:val="28"/>
          <w:szCs w:val="28"/>
        </w:rPr>
        <w:t xml:space="preserve"> </w:t>
      </w:r>
      <w:r w:rsidRPr="005B1EA0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5B1EA0">
        <w:rPr>
          <w:rFonts w:ascii="Times New Roman" w:hAnsi="Times New Roman" w:cs="Times New Roman"/>
          <w:sz w:val="28"/>
          <w:szCs w:val="28"/>
        </w:rPr>
        <w:t>»</w:t>
      </w:r>
    </w:p>
    <w:p w:rsidR="00F235DA" w:rsidRDefault="00F235DA" w:rsidP="005B1EA0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B1EA0" w:rsidRDefault="00F235DA" w:rsidP="00E17254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Приволжском районе Казани возведён ЖК «Аквамарин», комплекс включает в себя детские и спортивные площадки, парковки, озеленение</w:t>
      </w:r>
      <w:r w:rsidR="00E17254">
        <w:rPr>
          <w:rFonts w:ascii="Times New Roman" w:hAnsi="Times New Roman" w:cs="Times New Roman"/>
          <w:sz w:val="28"/>
          <w:szCs w:val="28"/>
        </w:rPr>
        <w:t>.</w:t>
      </w:r>
    </w:p>
    <w:p w:rsidR="005B1EA0" w:rsidRDefault="00544D33" w:rsidP="00544D33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брендом </w:t>
      </w:r>
      <w:r>
        <w:rPr>
          <w:rFonts w:ascii="Times New Roman" w:hAnsi="Times New Roman" w:cs="Times New Roman"/>
          <w:sz w:val="28"/>
          <w:szCs w:val="28"/>
          <w:lang w:val="en-US"/>
        </w:rPr>
        <w:t>UD</w:t>
      </w:r>
      <w:r w:rsidRPr="00544D3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sz w:val="28"/>
          <w:szCs w:val="28"/>
        </w:rPr>
        <w:t xml:space="preserve"> управляются ТРЦ «</w:t>
      </w:r>
      <w:r>
        <w:rPr>
          <w:rFonts w:ascii="Times New Roman" w:hAnsi="Times New Roman" w:cs="Times New Roman"/>
          <w:sz w:val="28"/>
          <w:szCs w:val="28"/>
          <w:lang w:val="en-US"/>
        </w:rPr>
        <w:t>KaznMall</w:t>
      </w:r>
      <w:r>
        <w:rPr>
          <w:rFonts w:ascii="Times New Roman" w:hAnsi="Times New Roman" w:cs="Times New Roman"/>
          <w:sz w:val="28"/>
          <w:szCs w:val="28"/>
        </w:rPr>
        <w:t>» (140 тыс. кв. м), «ГоркиПарк», «Арт Центр», ритейл-парк «</w:t>
      </w:r>
      <w:r>
        <w:rPr>
          <w:rFonts w:ascii="Times New Roman" w:hAnsi="Times New Roman" w:cs="Times New Roman"/>
          <w:sz w:val="28"/>
          <w:szCs w:val="28"/>
          <w:lang w:val="en-US"/>
        </w:rPr>
        <w:t>UDACHA</w:t>
      </w:r>
      <w:r>
        <w:rPr>
          <w:rFonts w:ascii="Times New Roman" w:hAnsi="Times New Roman" w:cs="Times New Roman"/>
          <w:sz w:val="28"/>
          <w:szCs w:val="28"/>
        </w:rPr>
        <w:t>». «</w:t>
      </w:r>
      <w:r>
        <w:rPr>
          <w:rFonts w:ascii="Times New Roman" w:hAnsi="Times New Roman" w:cs="Times New Roman"/>
          <w:sz w:val="28"/>
          <w:szCs w:val="28"/>
          <w:lang w:val="en-US"/>
        </w:rPr>
        <w:t>KaznMall</w:t>
      </w:r>
      <w:r>
        <w:rPr>
          <w:rFonts w:ascii="Times New Roman" w:hAnsi="Times New Roman" w:cs="Times New Roman"/>
          <w:sz w:val="28"/>
          <w:szCs w:val="28"/>
        </w:rPr>
        <w:t>» - крупнейший в Татарстане, заполняемость 100%.</w:t>
      </w:r>
    </w:p>
    <w:p w:rsidR="00E17254" w:rsidRDefault="003D354C" w:rsidP="00BE49B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Финансовые результаты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D354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sz w:val="28"/>
          <w:szCs w:val="28"/>
        </w:rPr>
        <w:t xml:space="preserve"> за 2025 год отражают давление макроэкономической среды. По данным консолидированной отчётности по МСФО, </w:t>
      </w:r>
      <w:r w:rsidR="00C54F5C">
        <w:rPr>
          <w:rFonts w:ascii="Times New Roman" w:hAnsi="Times New Roman" w:cs="Times New Roman"/>
          <w:sz w:val="28"/>
          <w:szCs w:val="28"/>
        </w:rPr>
        <w:t>выручка</w:t>
      </w:r>
      <w:r>
        <w:rPr>
          <w:rFonts w:ascii="Times New Roman" w:hAnsi="Times New Roman" w:cs="Times New Roman"/>
          <w:sz w:val="28"/>
          <w:szCs w:val="28"/>
        </w:rPr>
        <w:t xml:space="preserve"> выросла на 26% - до 44 млрд. руб. E</w:t>
      </w:r>
      <w:r>
        <w:rPr>
          <w:rFonts w:ascii="Times New Roman" w:hAnsi="Times New Roman" w:cs="Times New Roman"/>
          <w:sz w:val="28"/>
          <w:szCs w:val="28"/>
          <w:lang w:val="en-US"/>
        </w:rPr>
        <w:t>BITDA</w:t>
      </w:r>
      <w:r>
        <w:rPr>
          <w:rFonts w:ascii="Times New Roman" w:hAnsi="Times New Roman" w:cs="Times New Roman"/>
          <w:sz w:val="28"/>
          <w:szCs w:val="28"/>
        </w:rPr>
        <w:t xml:space="preserve"> увеличилась лишь на 2%, до 11%. Рентабельность по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 xml:space="preserve"> снизилась с 31,2% до 25%</w:t>
      </w:r>
      <w:r w:rsidR="00BE49BF">
        <w:rPr>
          <w:rFonts w:ascii="Times New Roman" w:hAnsi="Times New Roman" w:cs="Times New Roman"/>
          <w:sz w:val="28"/>
          <w:szCs w:val="28"/>
        </w:rPr>
        <w:t xml:space="preserve"> (таблица 3.1.2).</w:t>
      </w:r>
    </w:p>
    <w:p w:rsidR="00BE49BF" w:rsidRDefault="00BE49BF" w:rsidP="00D34D80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D34D80" w:rsidRDefault="00D34D80" w:rsidP="00D34D80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BE49BF" w:rsidRDefault="00BE49BF" w:rsidP="00BE49BF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3.1.2</w:t>
      </w:r>
    </w:p>
    <w:p w:rsidR="008C46B1" w:rsidRPr="00C54F5C" w:rsidRDefault="00BE49BF" w:rsidP="00982E80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финансовые показатели </w:t>
      </w:r>
      <w:r w:rsidR="00B242F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242FD" w:rsidRPr="00982E80">
        <w:rPr>
          <w:rFonts w:ascii="Times New Roman" w:hAnsi="Times New Roman" w:cs="Times New Roman"/>
          <w:sz w:val="28"/>
          <w:szCs w:val="28"/>
        </w:rPr>
        <w:t>-</w:t>
      </w:r>
      <w:r w:rsidR="00B242FD">
        <w:rPr>
          <w:rFonts w:ascii="Times New Roman" w:hAnsi="Times New Roman" w:cs="Times New Roman"/>
          <w:sz w:val="28"/>
          <w:szCs w:val="28"/>
          <w:lang w:val="en-US"/>
        </w:rPr>
        <w:t>Group</w:t>
      </w:r>
    </w:p>
    <w:tbl>
      <w:tblPr>
        <w:tblW w:w="9660" w:type="dxa"/>
        <w:tblLayout w:type="fixed"/>
        <w:tblLook w:val="04A0" w:firstRow="1" w:lastRow="0" w:firstColumn="1" w:lastColumn="0" w:noHBand="0" w:noVBand="1"/>
      </w:tblPr>
      <w:tblGrid>
        <w:gridCol w:w="2238"/>
        <w:gridCol w:w="1237"/>
        <w:gridCol w:w="1237"/>
        <w:gridCol w:w="1083"/>
        <w:gridCol w:w="1082"/>
        <w:gridCol w:w="1546"/>
        <w:gridCol w:w="1237"/>
      </w:tblGrid>
      <w:tr w:rsidR="00982E80" w:rsidRPr="008C46B1" w:rsidTr="00982E80">
        <w:trPr>
          <w:trHeight w:val="946"/>
        </w:trPr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2021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2025</w:t>
            </w:r>
          </w:p>
        </w:tc>
      </w:tr>
      <w:tr w:rsidR="00982E80" w:rsidRPr="008C46B1" w:rsidTr="00982E80">
        <w:trPr>
          <w:trHeight w:val="847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Выручка,</w:t>
            </w:r>
            <w:r w:rsidRPr="008C46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млн.руб.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18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819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939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914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43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868</w:t>
            </w:r>
          </w:p>
        </w:tc>
      </w:tr>
      <w:tr w:rsidR="00982E80" w:rsidRPr="008C46B1" w:rsidTr="00982E80">
        <w:trPr>
          <w:trHeight w:val="702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EBITDA,</w:t>
            </w:r>
            <w:r w:rsidRPr="008C46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млн.руб.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592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522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091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133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868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065</w:t>
            </w:r>
          </w:p>
        </w:tc>
      </w:tr>
      <w:tr w:rsidR="00982E80" w:rsidRPr="008C46B1" w:rsidTr="00982E80">
        <w:trPr>
          <w:trHeight w:val="967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Рентабельность по EBITDA,</w:t>
            </w:r>
            <w:r w:rsidRPr="008C46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30,8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31,5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29,1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29,2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31,1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25,2</w:t>
            </w:r>
          </w:p>
        </w:tc>
      </w:tr>
      <w:tr w:rsidR="00982E80" w:rsidRPr="008C46B1" w:rsidTr="00982E80">
        <w:trPr>
          <w:trHeight w:val="996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Чистая прибыль,</w:t>
            </w:r>
            <w:r w:rsidRPr="008C46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млн.руб.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071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596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071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569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547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397</w:t>
            </w:r>
          </w:p>
        </w:tc>
      </w:tr>
      <w:tr w:rsidR="00982E80" w:rsidRPr="008C46B1" w:rsidTr="00982E80">
        <w:trPr>
          <w:trHeight w:val="1122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Рентабельность по чистой прибыли,</w:t>
            </w:r>
            <w:r w:rsidRPr="008C46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%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27,9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22,1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19,4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18,7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13,0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5,5</w:t>
            </w:r>
          </w:p>
        </w:tc>
      </w:tr>
      <w:tr w:rsidR="00982E80" w:rsidRPr="008C46B1" w:rsidTr="00982E80">
        <w:trPr>
          <w:trHeight w:val="969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Активы,</w:t>
            </w:r>
            <w:r w:rsidRPr="008C46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млн.руб.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39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656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445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421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225</w:t>
            </w:r>
          </w:p>
        </w:tc>
      </w:tr>
      <w:tr w:rsidR="00982E80" w:rsidRPr="008C46B1" w:rsidTr="00982E80">
        <w:trPr>
          <w:trHeight w:val="841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Долг,</w:t>
            </w:r>
            <w:r w:rsidRPr="008C46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млн.руб.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615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19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653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23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333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43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903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49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190</w:t>
            </w:r>
          </w:p>
        </w:tc>
      </w:tr>
      <w:tr w:rsidR="00982E80" w:rsidRPr="008C46B1" w:rsidTr="00982E80">
        <w:trPr>
          <w:trHeight w:val="995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Чистый долг*,</w:t>
            </w:r>
            <w:r w:rsidRPr="008C46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млн. руб.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063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756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291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297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187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662</w:t>
            </w:r>
          </w:p>
        </w:tc>
      </w:tr>
      <w:tr w:rsidR="00982E80" w:rsidRPr="008C46B1" w:rsidTr="00982E80">
        <w:trPr>
          <w:trHeight w:val="1238"/>
        </w:trPr>
        <w:tc>
          <w:tcPr>
            <w:tcW w:w="2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Чистый долг*/EBITDA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023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0.42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0.04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0.85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2E80" w:rsidRPr="008C46B1" w:rsidRDefault="00982E80" w:rsidP="00B3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C46B1">
              <w:rPr>
                <w:rFonts w:ascii="Times New Roman" w:eastAsia="Times New Roman" w:hAnsi="Times New Roman" w:cs="Times New Roman"/>
                <w:lang w:eastAsia="ru-RU"/>
              </w:rPr>
              <w:t>157</w:t>
            </w:r>
          </w:p>
        </w:tc>
      </w:tr>
    </w:tbl>
    <w:p w:rsidR="00982E80" w:rsidRDefault="00982E80" w:rsidP="00982E80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82E80">
        <w:rPr>
          <w:rFonts w:ascii="Times New Roman" w:hAnsi="Times New Roman" w:cs="Times New Roman"/>
          <w:sz w:val="24"/>
          <w:szCs w:val="28"/>
        </w:rPr>
        <w:t>Источник: составлено автором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D34D80">
        <w:rPr>
          <w:rFonts w:ascii="Times New Roman" w:hAnsi="Times New Roman" w:cs="Times New Roman"/>
          <w:sz w:val="24"/>
          <w:szCs w:val="28"/>
        </w:rPr>
        <w:t>на основе данных компании.</w:t>
      </w:r>
    </w:p>
    <w:p w:rsidR="00982E80" w:rsidRPr="00982E80" w:rsidRDefault="00982E80" w:rsidP="00982E80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BE49BF" w:rsidRDefault="00D34D80" w:rsidP="00982E80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6769">
        <w:rPr>
          <w:rFonts w:ascii="Times New Roman" w:hAnsi="Times New Roman" w:cs="Times New Roman"/>
          <w:sz w:val="28"/>
          <w:szCs w:val="28"/>
        </w:rPr>
        <w:t xml:space="preserve">Чистая прибыль сократилась почти вдвое – с 4,5 до 2,4 млрд. руб. Причина – рост процентных расходов с 6 до 12,4 млрд. руб. из-за высокой ключевой ставки ЦБ. Средняя ставка по кредитному портфелю на конец 2025 года достигла 13,79% против 9,67% годом ранее. </w:t>
      </w:r>
    </w:p>
    <w:p w:rsidR="00DE6769" w:rsidRDefault="00DE6769" w:rsidP="00982E80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сегментах картина </w:t>
      </w:r>
      <w:r w:rsidR="007C2A03">
        <w:rPr>
          <w:rFonts w:ascii="Times New Roman" w:hAnsi="Times New Roman" w:cs="Times New Roman"/>
          <w:sz w:val="28"/>
          <w:szCs w:val="28"/>
        </w:rPr>
        <w:t>неоднородна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7C2A03">
        <w:rPr>
          <w:rFonts w:ascii="Times New Roman" w:hAnsi="Times New Roman" w:cs="Times New Roman"/>
          <w:sz w:val="28"/>
          <w:szCs w:val="28"/>
        </w:rPr>
        <w:t xml:space="preserve"> Жилая недвижимость показала выручку +26%, но </w:t>
      </w:r>
      <w:r w:rsidR="007C2A03">
        <w:rPr>
          <w:rFonts w:ascii="Times New Roman" w:hAnsi="Times New Roman" w:cs="Times New Roman"/>
          <w:sz w:val="28"/>
          <w:szCs w:val="28"/>
          <w:lang w:val="en-US"/>
        </w:rPr>
        <w:t>EBITDA</w:t>
      </w:r>
      <w:r w:rsidR="007C2A03">
        <w:rPr>
          <w:rFonts w:ascii="Times New Roman" w:hAnsi="Times New Roman" w:cs="Times New Roman"/>
          <w:sz w:val="28"/>
          <w:szCs w:val="28"/>
        </w:rPr>
        <w:t xml:space="preserve"> осталась на уровне 9,5 млрд. рублей. Коммерческая </w:t>
      </w:r>
      <w:r w:rsidR="007C2A03">
        <w:rPr>
          <w:rFonts w:ascii="Times New Roman" w:hAnsi="Times New Roman" w:cs="Times New Roman"/>
          <w:sz w:val="28"/>
          <w:szCs w:val="28"/>
        </w:rPr>
        <w:lastRenderedPageBreak/>
        <w:t>недвижимость (</w:t>
      </w:r>
      <w:r w:rsidR="007C2A03">
        <w:rPr>
          <w:rFonts w:ascii="Times New Roman" w:hAnsi="Times New Roman" w:cs="Times New Roman"/>
          <w:sz w:val="28"/>
          <w:szCs w:val="28"/>
          <w:lang w:val="en-US"/>
        </w:rPr>
        <w:t>UD</w:t>
      </w:r>
      <w:r w:rsidR="007C2A03" w:rsidRPr="007C2A03">
        <w:rPr>
          <w:rFonts w:ascii="Times New Roman" w:hAnsi="Times New Roman" w:cs="Times New Roman"/>
          <w:sz w:val="28"/>
          <w:szCs w:val="28"/>
        </w:rPr>
        <w:t xml:space="preserve"> </w:t>
      </w:r>
      <w:r w:rsidR="007C2A03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7C2A03" w:rsidRPr="007C2A03">
        <w:rPr>
          <w:rFonts w:ascii="Times New Roman" w:hAnsi="Times New Roman" w:cs="Times New Roman"/>
          <w:sz w:val="28"/>
          <w:szCs w:val="28"/>
        </w:rPr>
        <w:t>)</w:t>
      </w:r>
      <w:r w:rsidR="007C2A03">
        <w:rPr>
          <w:rFonts w:ascii="Times New Roman" w:hAnsi="Times New Roman" w:cs="Times New Roman"/>
          <w:sz w:val="28"/>
          <w:szCs w:val="28"/>
        </w:rPr>
        <w:t xml:space="preserve"> увеличила </w:t>
      </w:r>
      <w:r w:rsidR="007C2A03">
        <w:rPr>
          <w:rFonts w:ascii="Times New Roman" w:hAnsi="Times New Roman" w:cs="Times New Roman"/>
          <w:sz w:val="28"/>
          <w:szCs w:val="28"/>
          <w:lang w:val="en-US"/>
        </w:rPr>
        <w:t>EBITDA</w:t>
      </w:r>
      <w:r w:rsidR="007C2A03">
        <w:rPr>
          <w:rFonts w:ascii="Times New Roman" w:hAnsi="Times New Roman" w:cs="Times New Roman"/>
          <w:sz w:val="28"/>
          <w:szCs w:val="28"/>
        </w:rPr>
        <w:t xml:space="preserve"> на 35% - до 1,5 млрд. рублей, выручка выросла на 32% (до 3,4 млрд. рублей), рентабельность по </w:t>
      </w:r>
      <w:r w:rsidR="007C2A03">
        <w:rPr>
          <w:rFonts w:ascii="Times New Roman" w:hAnsi="Times New Roman" w:cs="Times New Roman"/>
          <w:sz w:val="28"/>
          <w:szCs w:val="28"/>
          <w:lang w:val="en-US"/>
        </w:rPr>
        <w:t>EBITDA</w:t>
      </w:r>
      <w:r w:rsidR="007C2A03">
        <w:rPr>
          <w:rFonts w:ascii="Times New Roman" w:hAnsi="Times New Roman" w:cs="Times New Roman"/>
          <w:sz w:val="28"/>
          <w:szCs w:val="28"/>
        </w:rPr>
        <w:t xml:space="preserve"> составила 45%. ИЖС (</w:t>
      </w:r>
      <w:r w:rsidR="007C2A03">
        <w:rPr>
          <w:rFonts w:ascii="Times New Roman" w:hAnsi="Times New Roman" w:cs="Times New Roman"/>
          <w:sz w:val="28"/>
          <w:szCs w:val="28"/>
          <w:lang w:val="en-US"/>
        </w:rPr>
        <w:t>Corner</w:t>
      </w:r>
      <w:r w:rsidR="007C2A03" w:rsidRPr="007C2A03">
        <w:rPr>
          <w:rFonts w:ascii="Times New Roman" w:hAnsi="Times New Roman" w:cs="Times New Roman"/>
          <w:sz w:val="28"/>
          <w:szCs w:val="28"/>
        </w:rPr>
        <w:t>)</w:t>
      </w:r>
      <w:r w:rsidR="007C2A03">
        <w:rPr>
          <w:rFonts w:ascii="Times New Roman" w:hAnsi="Times New Roman" w:cs="Times New Roman"/>
          <w:sz w:val="28"/>
          <w:szCs w:val="28"/>
        </w:rPr>
        <w:t xml:space="preserve"> принёс 0,7 млрд. рублей, выручка сегмента выросла на 19% - до 2,9 млрд рублей.</w:t>
      </w:r>
    </w:p>
    <w:p w:rsidR="007C2A03" w:rsidRPr="007C2A03" w:rsidRDefault="007C2A03" w:rsidP="007C2A03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Совокупный долг на конец 2025 года составил 49,2 млрд. рублей против 43,9 млрд рублей годом ранее. Поступления на эскроу-счета сократились с 23,7 до 19 млрд. рублей.</w:t>
      </w:r>
    </w:p>
    <w:p w:rsidR="00BE49BF" w:rsidRDefault="00B242FD" w:rsidP="00982E80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Операционные итоги 2025 года показывают падение продаж. За 12 месяцев объём заключённых договоров составил 27,9 млрд. рублей – на 2,1%, ниже 2024 года. В натуральном выражении реализовано 138,8 тыс. кв. м. За 9 месяцев выручка от продаж достигла 17 млрд. рублей, что на 29% меньше аналогичного периода прошлого года (таблица 3.1.3). </w:t>
      </w:r>
    </w:p>
    <w:p w:rsidR="00B242FD" w:rsidRDefault="00B242FD" w:rsidP="00982E80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B242FD" w:rsidRDefault="00B242FD" w:rsidP="00B242FD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3.1.3</w:t>
      </w:r>
    </w:p>
    <w:p w:rsidR="00B242FD" w:rsidRDefault="00B242FD" w:rsidP="00B242FD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Операционные показатели </w:t>
      </w:r>
      <w:r>
        <w:rPr>
          <w:rFonts w:ascii="Times New Roman" w:hAnsi="Times New Roman" w:cs="Times New Roman"/>
          <w:sz w:val="28"/>
          <w:szCs w:val="28"/>
          <w:lang w:val="en-US"/>
        </w:rPr>
        <w:t>G-Group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2365"/>
        <w:gridCol w:w="1316"/>
        <w:gridCol w:w="992"/>
        <w:gridCol w:w="1276"/>
        <w:gridCol w:w="1276"/>
        <w:gridCol w:w="1275"/>
        <w:gridCol w:w="1276"/>
      </w:tblGrid>
      <w:tr w:rsidR="00982E80" w:rsidRPr="00982E80" w:rsidTr="00982E80">
        <w:trPr>
          <w:trHeight w:val="300"/>
        </w:trPr>
        <w:tc>
          <w:tcPr>
            <w:tcW w:w="2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2021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</w:t>
            </w:r>
          </w:p>
        </w:tc>
      </w:tr>
      <w:tr w:rsidR="00982E80" w:rsidRPr="00982E80" w:rsidTr="00982E80">
        <w:trPr>
          <w:trHeight w:val="300"/>
        </w:trPr>
        <w:tc>
          <w:tcPr>
            <w:tcW w:w="2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82E80" w:rsidRPr="00982E80" w:rsidTr="00982E80">
        <w:trPr>
          <w:trHeight w:val="1575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Объем заключенных договоров по </w:t>
            </w:r>
          </w:p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направлению жилой недвижимости, млн. руб.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16 743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19 945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13 215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28 799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27 360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27 085</w:t>
            </w:r>
          </w:p>
        </w:tc>
      </w:tr>
      <w:tr w:rsidR="00982E80" w:rsidRPr="00982E80" w:rsidTr="00982E80">
        <w:trPr>
          <w:trHeight w:val="1260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Поступления по направлению жилой недвижимости, млн. руб.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16 406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21 086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13 893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28 908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26 039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25 205</w:t>
            </w:r>
          </w:p>
        </w:tc>
      </w:tr>
      <w:tr w:rsidR="00982E80" w:rsidRPr="00982E80" w:rsidTr="00982E80">
        <w:trPr>
          <w:trHeight w:val="630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продаж , тыс. м2.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</w:t>
            </w:r>
          </w:p>
        </w:tc>
      </w:tr>
      <w:tr w:rsidR="00982E80" w:rsidRPr="00982E80" w:rsidTr="00982E80">
        <w:trPr>
          <w:trHeight w:val="630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ввода жилья, тыс. м2.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264</w:t>
            </w:r>
          </w:p>
        </w:tc>
      </w:tr>
      <w:tr w:rsidR="00982E80" w:rsidRPr="00982E80" w:rsidTr="00982E80">
        <w:trPr>
          <w:trHeight w:val="630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ипотеки в объеме продаж, 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</w:tr>
      <w:tr w:rsidR="00982E80" w:rsidRPr="00982E80" w:rsidTr="00982E80">
        <w:trPr>
          <w:trHeight w:val="1575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Выручка по направлению коммерческой недвижимости, млн. руб.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2 195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1 993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ind w:right="6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2 274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2 578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82E80" w:rsidRPr="00B242FD" w:rsidRDefault="00982E80" w:rsidP="00982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2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3 399</w:t>
            </w:r>
          </w:p>
        </w:tc>
      </w:tr>
    </w:tbl>
    <w:p w:rsidR="00982E80" w:rsidRDefault="00982E80" w:rsidP="00982E80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82E80">
        <w:rPr>
          <w:rFonts w:ascii="Times New Roman" w:hAnsi="Times New Roman" w:cs="Times New Roman"/>
          <w:sz w:val="24"/>
          <w:szCs w:val="28"/>
        </w:rPr>
        <w:t>Источник: составлено автором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D34D80">
        <w:rPr>
          <w:rFonts w:ascii="Times New Roman" w:hAnsi="Times New Roman" w:cs="Times New Roman"/>
          <w:sz w:val="24"/>
          <w:szCs w:val="28"/>
        </w:rPr>
        <w:t>на основе данных компании.</w:t>
      </w:r>
    </w:p>
    <w:p w:rsidR="00B242FD" w:rsidRDefault="002D1621" w:rsidP="002D16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Структура выручки по итогам 9 месяцев: Казань – 59%, Санкт-Петербург – 17%, Екатеринбург – 13%</w:t>
      </w:r>
      <w:r w:rsidR="003901C6" w:rsidRPr="003901C6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3901C6">
        <w:rPr>
          <w:rFonts w:ascii="Times New Roman" w:hAnsi="Times New Roman" w:cs="Times New Roman"/>
          <w:sz w:val="28"/>
          <w:szCs w:val="28"/>
        </w:rPr>
        <w:t>3.1.5)</w:t>
      </w:r>
      <w:r>
        <w:rPr>
          <w:rFonts w:ascii="Times New Roman" w:hAnsi="Times New Roman" w:cs="Times New Roman"/>
          <w:sz w:val="28"/>
          <w:szCs w:val="28"/>
        </w:rPr>
        <w:t>. Доля ипотечны</w:t>
      </w:r>
      <w:r w:rsidR="00475BAD">
        <w:rPr>
          <w:rFonts w:ascii="Times New Roman" w:hAnsi="Times New Roman" w:cs="Times New Roman"/>
          <w:sz w:val="28"/>
          <w:szCs w:val="28"/>
        </w:rPr>
        <w:t>х сделок сократилась с 69% до 52</w:t>
      </w:r>
      <w:r>
        <w:rPr>
          <w:rFonts w:ascii="Times New Roman" w:hAnsi="Times New Roman" w:cs="Times New Roman"/>
          <w:sz w:val="28"/>
          <w:szCs w:val="28"/>
        </w:rPr>
        <w:t>%, доля 100% -ной оплаты выросла с 10% до 17%.</w:t>
      </w:r>
    </w:p>
    <w:p w:rsidR="003901C6" w:rsidRDefault="003901C6" w:rsidP="002D16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901C6" w:rsidRDefault="003901C6" w:rsidP="002D16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C849EEB" wp14:editId="7BC330B3">
            <wp:extent cx="4572000" cy="27432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3901C6" w:rsidRPr="003901C6" w:rsidRDefault="003901C6" w:rsidP="003901C6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901C6">
        <w:rPr>
          <w:rFonts w:ascii="Times New Roman" w:hAnsi="Times New Roman" w:cs="Times New Roman"/>
          <w:sz w:val="24"/>
          <w:szCs w:val="28"/>
        </w:rPr>
        <w:t>Источник: составлено автором.</w:t>
      </w:r>
    </w:p>
    <w:p w:rsidR="003901C6" w:rsidRDefault="003901C6" w:rsidP="002D16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3.1.5 – Структура выручки по регионам 2025 год</w:t>
      </w:r>
    </w:p>
    <w:p w:rsidR="003901C6" w:rsidRDefault="003901C6" w:rsidP="002D16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901C6" w:rsidRDefault="003901C6" w:rsidP="002D16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2025 года выручка по МСФО составила 43,9 млрд. рублей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 xml:space="preserve"> – 11,1 млрд. рублей. Чистый долг – 31 млрд. рублей, соотношение чистый долг, поделённый на </w:t>
      </w:r>
      <w:r>
        <w:rPr>
          <w:rFonts w:ascii="Times New Roman" w:hAnsi="Times New Roman" w:cs="Times New Roman"/>
          <w:sz w:val="28"/>
          <w:szCs w:val="28"/>
          <w:lang w:val="en-US"/>
        </w:rPr>
        <w:t>EBIT</w:t>
      </w:r>
      <w:r w:rsidR="00C54F5C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LTM</w:t>
      </w:r>
      <w:r w:rsidRPr="003901C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6321">
        <w:rPr>
          <w:rFonts w:ascii="Times New Roman" w:hAnsi="Times New Roman" w:cs="Times New Roman"/>
          <w:sz w:val="28"/>
          <w:szCs w:val="28"/>
        </w:rPr>
        <w:t>– 2,79, средняя ставка по портфелю – 14,1%.</w:t>
      </w:r>
    </w:p>
    <w:p w:rsidR="00106321" w:rsidRDefault="00106321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Кредитный рейтинг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10632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063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2025-2026 годах ухудшился. В сентябре 2025 года АКРА подтвердила рейтинг А-(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10632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но изменило прогноз со «Стабильного» на «Негативный» из-за снижения обслуживания долга и ужесточения денежно-кредитной политики. В апреле 2026 года «Эксперт РА» понизило рейтинг до </w:t>
      </w:r>
      <w:r>
        <w:rPr>
          <w:rFonts w:ascii="Times New Roman" w:hAnsi="Times New Roman" w:cs="Times New Roman"/>
          <w:sz w:val="28"/>
          <w:szCs w:val="28"/>
          <w:lang w:val="en-US"/>
        </w:rPr>
        <w:t>ruBBB</w:t>
      </w:r>
      <w:r w:rsidRPr="00106321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(умеренный уровень кредитоспособности) </w:t>
      </w:r>
      <w:r w:rsidRPr="0010632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10632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- (умеренно высокий), </w:t>
      </w:r>
      <w:r w:rsidRPr="00106321">
        <w:rPr>
          <w:rFonts w:ascii="Times New Roman" w:hAnsi="Times New Roman" w:cs="Times New Roman"/>
          <w:sz w:val="28"/>
          <w:szCs w:val="28"/>
        </w:rPr>
        <w:t xml:space="preserve">прогноз </w:t>
      </w:r>
      <w:r>
        <w:rPr>
          <w:rFonts w:ascii="Times New Roman" w:hAnsi="Times New Roman" w:cs="Times New Roman"/>
          <w:sz w:val="28"/>
          <w:szCs w:val="28"/>
        </w:rPr>
        <w:t xml:space="preserve">«Стабильный» – причины: ухудшение долговой нагрузки, замедление наполнения эскроу-счетов и жёсткая политика ЦБ. Отношение долга к </w:t>
      </w:r>
      <w:r>
        <w:rPr>
          <w:rFonts w:ascii="Times New Roman" w:hAnsi="Times New Roman" w:cs="Times New Roman"/>
          <w:sz w:val="28"/>
          <w:szCs w:val="28"/>
          <w:lang w:val="en-US"/>
        </w:rPr>
        <w:t>EBITDA</w:t>
      </w:r>
      <w:r>
        <w:rPr>
          <w:rFonts w:ascii="Times New Roman" w:hAnsi="Times New Roman" w:cs="Times New Roman"/>
          <w:sz w:val="28"/>
          <w:szCs w:val="28"/>
        </w:rPr>
        <w:t xml:space="preserve"> по методологии агентства выросло с 2,6 до 4,6.</w:t>
      </w:r>
    </w:p>
    <w:p w:rsidR="00106321" w:rsidRDefault="00106321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кредитной эффективности показывает: компания сохраняет операционную устойчивость, но сталкивается с беспрецедентным давлением процентных ставок.</w:t>
      </w:r>
    </w:p>
    <w:p w:rsidR="00106321" w:rsidRDefault="00106321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Позиция </w:t>
      </w:r>
      <w:r w:rsidR="001A6E2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A6E20" w:rsidRPr="001A6E20">
        <w:rPr>
          <w:rFonts w:ascii="Times New Roman" w:hAnsi="Times New Roman" w:cs="Times New Roman"/>
          <w:sz w:val="28"/>
          <w:szCs w:val="28"/>
        </w:rPr>
        <w:t>-</w:t>
      </w:r>
      <w:r w:rsidR="001A6E20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1A6E20" w:rsidRPr="001A6E20">
        <w:rPr>
          <w:rFonts w:ascii="Times New Roman" w:hAnsi="Times New Roman" w:cs="Times New Roman"/>
          <w:sz w:val="28"/>
          <w:szCs w:val="28"/>
        </w:rPr>
        <w:t xml:space="preserve"> </w:t>
      </w:r>
      <w:r w:rsidR="001A6E20">
        <w:rPr>
          <w:rFonts w:ascii="Times New Roman" w:hAnsi="Times New Roman" w:cs="Times New Roman"/>
          <w:sz w:val="28"/>
          <w:szCs w:val="28"/>
        </w:rPr>
        <w:t xml:space="preserve">в общероссийском рейтинге застройщиков укрепляется, по данным ЕРЗ на март2026 года, компания занимает 24-е место по объёму текущего строительства (564,8 тыс. кв. м). Всего в портфеле 20 строящихся проектов в шести регионах, рейтинг соблюдения сроков – максимальные 5 баллов. </w:t>
      </w:r>
    </w:p>
    <w:p w:rsidR="001A6E20" w:rsidRDefault="001A6E20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Рост заметен по динамике. По итогам 2025 года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1A6E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A6E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замкнула двадцатку лидеров России по вводу жилья – сдано 241,6 тыс. кв. м, годовой рост составил 126%. В рейтинге ЕРЗ компания поднялась на 48 позиций, сохранив 5 звёзд за соблюдение сроков сдачи.</w:t>
      </w:r>
    </w:p>
    <w:p w:rsidR="001A6E20" w:rsidRDefault="001A6E20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другом рейтинге – по динамике развития за 2025 год –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1A6E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A6E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заняла 4-е место в стране с 41 баллом. Рост обеспечен экспансией в новые регионы и запуском проектов. В пятёрку вошли </w:t>
      </w:r>
      <w:r>
        <w:rPr>
          <w:rFonts w:ascii="Times New Roman" w:hAnsi="Times New Roman" w:cs="Times New Roman"/>
          <w:sz w:val="28"/>
          <w:szCs w:val="28"/>
          <w:lang w:val="en-US"/>
        </w:rPr>
        <w:t>GloraX</w:t>
      </w:r>
      <w:r>
        <w:rPr>
          <w:rFonts w:ascii="Times New Roman" w:hAnsi="Times New Roman" w:cs="Times New Roman"/>
          <w:sz w:val="28"/>
          <w:szCs w:val="28"/>
        </w:rPr>
        <w:t xml:space="preserve"> (55 баллов), ГК «ЮгСтройИнвест» (51 баллов) и ГК «Развитие» (50 баллов)</w:t>
      </w:r>
      <w:r w:rsidR="00AC6519">
        <w:rPr>
          <w:rFonts w:ascii="Times New Roman" w:hAnsi="Times New Roman" w:cs="Times New Roman"/>
          <w:sz w:val="28"/>
          <w:szCs w:val="28"/>
        </w:rPr>
        <w:t xml:space="preserve"> (таблица 3.1.4)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C6519" w:rsidRDefault="00AC6519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6E20" w:rsidRDefault="00AC6519" w:rsidP="00AC6519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3.1.4</w:t>
      </w:r>
    </w:p>
    <w:p w:rsidR="00AC6519" w:rsidRPr="00AC6519" w:rsidRDefault="00AC6519" w:rsidP="00AC6519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Позиции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C651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sz w:val="28"/>
          <w:szCs w:val="28"/>
        </w:rPr>
        <w:t xml:space="preserve"> в общероссийском рейтинге ЕРЗ, 2025-2026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2407"/>
        <w:gridCol w:w="3115"/>
      </w:tblGrid>
      <w:tr w:rsidR="001A6E20" w:rsidTr="00AC6519">
        <w:tc>
          <w:tcPr>
            <w:tcW w:w="3823" w:type="dxa"/>
          </w:tcPr>
          <w:p w:rsidR="001A6E20" w:rsidRPr="00AC6519" w:rsidRDefault="001A6E20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Показатель</w:t>
            </w:r>
          </w:p>
        </w:tc>
        <w:tc>
          <w:tcPr>
            <w:tcW w:w="2407" w:type="dxa"/>
          </w:tcPr>
          <w:p w:rsidR="001A6E20" w:rsidRPr="00AC6519" w:rsidRDefault="001A6E20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Значение</w:t>
            </w:r>
          </w:p>
        </w:tc>
        <w:tc>
          <w:tcPr>
            <w:tcW w:w="3115" w:type="dxa"/>
          </w:tcPr>
          <w:p w:rsidR="001A6E20" w:rsidRPr="00AC6519" w:rsidRDefault="001A6E20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Место</w:t>
            </w:r>
          </w:p>
        </w:tc>
      </w:tr>
      <w:tr w:rsidR="001A6E20" w:rsidTr="00AC6519">
        <w:tc>
          <w:tcPr>
            <w:tcW w:w="3823" w:type="dxa"/>
          </w:tcPr>
          <w:p w:rsidR="001A6E20" w:rsidRPr="00AC6519" w:rsidRDefault="001A6E20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407" w:type="dxa"/>
          </w:tcPr>
          <w:p w:rsidR="001A6E20" w:rsidRPr="00AC6519" w:rsidRDefault="001A6E20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115" w:type="dxa"/>
          </w:tcPr>
          <w:p w:rsidR="001A6E20" w:rsidRPr="00AC6519" w:rsidRDefault="001A6E20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AC6519" w:rsidTr="00AC6519">
        <w:tc>
          <w:tcPr>
            <w:tcW w:w="3823" w:type="dxa"/>
          </w:tcPr>
          <w:p w:rsidR="00AC6519" w:rsidRPr="00AC6519" w:rsidRDefault="00AC6519" w:rsidP="00AC6519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Выручка</w:t>
            </w:r>
          </w:p>
        </w:tc>
        <w:tc>
          <w:tcPr>
            <w:tcW w:w="2407" w:type="dxa"/>
          </w:tcPr>
          <w:p w:rsidR="00AC6519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43,9 млрд. рублей</w:t>
            </w:r>
          </w:p>
        </w:tc>
        <w:tc>
          <w:tcPr>
            <w:tcW w:w="3115" w:type="dxa"/>
          </w:tcPr>
          <w:p w:rsidR="00AC6519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15-17</w:t>
            </w:r>
          </w:p>
        </w:tc>
      </w:tr>
      <w:tr w:rsidR="001A6E20" w:rsidTr="00AC6519">
        <w:tc>
          <w:tcPr>
            <w:tcW w:w="3823" w:type="dxa"/>
          </w:tcPr>
          <w:p w:rsidR="001A6E20" w:rsidRPr="00AC6519" w:rsidRDefault="001A6E20" w:rsidP="00AC6519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 xml:space="preserve">Объём текущего строительства </w:t>
            </w:r>
          </w:p>
        </w:tc>
        <w:tc>
          <w:tcPr>
            <w:tcW w:w="2407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564,8 тыс. кв. м</w:t>
            </w:r>
          </w:p>
        </w:tc>
        <w:tc>
          <w:tcPr>
            <w:tcW w:w="3115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</w:t>
            </w:r>
          </w:p>
        </w:tc>
      </w:tr>
      <w:tr w:rsidR="001A6E20" w:rsidTr="00AC6519">
        <w:tc>
          <w:tcPr>
            <w:tcW w:w="3823" w:type="dxa"/>
          </w:tcPr>
          <w:p w:rsidR="001A6E20" w:rsidRPr="00AC6519" w:rsidRDefault="001A6E20" w:rsidP="00AC6519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Количество строящихся проектов</w:t>
            </w:r>
          </w:p>
        </w:tc>
        <w:tc>
          <w:tcPr>
            <w:tcW w:w="2407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20</w:t>
            </w:r>
          </w:p>
        </w:tc>
        <w:tc>
          <w:tcPr>
            <w:tcW w:w="3115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1A6E20" w:rsidTr="00AC6519">
        <w:tc>
          <w:tcPr>
            <w:tcW w:w="3823" w:type="dxa"/>
          </w:tcPr>
          <w:p w:rsidR="001A6E20" w:rsidRPr="00AC6519" w:rsidRDefault="001A6E20" w:rsidP="00AC6519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 xml:space="preserve">Количество регионов присутствия </w:t>
            </w:r>
          </w:p>
        </w:tc>
        <w:tc>
          <w:tcPr>
            <w:tcW w:w="2407" w:type="dxa"/>
          </w:tcPr>
          <w:p w:rsidR="001A6E20" w:rsidRPr="00AC6519" w:rsidRDefault="00475BAD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115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1A6E20" w:rsidTr="00AC6519">
        <w:tc>
          <w:tcPr>
            <w:tcW w:w="3823" w:type="dxa"/>
          </w:tcPr>
          <w:p w:rsidR="001A6E20" w:rsidRPr="00AC6519" w:rsidRDefault="001A6E20" w:rsidP="00AC6519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Рейтинг соблюдение сроков</w:t>
            </w:r>
          </w:p>
        </w:tc>
        <w:tc>
          <w:tcPr>
            <w:tcW w:w="2407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 w:rsidR="00475BAD">
              <w:rPr>
                <w:rFonts w:ascii="Times New Roman" w:hAnsi="Times New Roman" w:cs="Times New Roman"/>
                <w:sz w:val="24"/>
                <w:szCs w:val="28"/>
              </w:rPr>
              <w:t xml:space="preserve"> баллов</w:t>
            </w:r>
          </w:p>
        </w:tc>
        <w:tc>
          <w:tcPr>
            <w:tcW w:w="3115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1A6E20" w:rsidTr="00AC6519">
        <w:tc>
          <w:tcPr>
            <w:tcW w:w="3823" w:type="dxa"/>
          </w:tcPr>
          <w:p w:rsidR="001A6E20" w:rsidRPr="00AC6519" w:rsidRDefault="001A6E20" w:rsidP="00AC6519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 xml:space="preserve">Ввод жилья за </w:t>
            </w:r>
            <w:r w:rsidR="00AC6519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2025 год</w:t>
            </w:r>
            <w:r w:rsidR="00AC6519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407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241,638 кв. м</w:t>
            </w:r>
          </w:p>
        </w:tc>
        <w:tc>
          <w:tcPr>
            <w:tcW w:w="3115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20</w:t>
            </w:r>
          </w:p>
        </w:tc>
      </w:tr>
      <w:tr w:rsidR="001A6E20" w:rsidTr="00AC6519">
        <w:tc>
          <w:tcPr>
            <w:tcW w:w="3823" w:type="dxa"/>
          </w:tcPr>
          <w:p w:rsidR="001A6E20" w:rsidRPr="00AC6519" w:rsidRDefault="00AC6519" w:rsidP="00AC6519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Динами</w:t>
            </w:r>
            <w:r w:rsidR="00475BAD">
              <w:rPr>
                <w:rFonts w:ascii="Times New Roman" w:hAnsi="Times New Roman" w:cs="Times New Roman"/>
                <w:sz w:val="24"/>
                <w:szCs w:val="28"/>
              </w:rPr>
              <w:t>ка</w:t>
            </w: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 xml:space="preserve"> развития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 w:rsidRPr="00AC6519">
              <w:rPr>
                <w:rFonts w:ascii="Times New Roman" w:hAnsi="Times New Roman" w:cs="Times New Roman"/>
                <w:sz w:val="24"/>
                <w:szCs w:val="28"/>
              </w:rPr>
              <w:t>2025 год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407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41 баллов</w:t>
            </w:r>
          </w:p>
        </w:tc>
        <w:tc>
          <w:tcPr>
            <w:tcW w:w="3115" w:type="dxa"/>
          </w:tcPr>
          <w:p w:rsidR="001A6E20" w:rsidRPr="00AC6519" w:rsidRDefault="00AC6519" w:rsidP="00AC651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</w:tr>
    </w:tbl>
    <w:p w:rsidR="001A6E20" w:rsidRDefault="00AC6519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AC6519">
        <w:rPr>
          <w:rFonts w:ascii="Times New Roman" w:hAnsi="Times New Roman" w:cs="Times New Roman"/>
          <w:sz w:val="24"/>
          <w:szCs w:val="28"/>
        </w:rPr>
        <w:t>Источник: составлено автором на основе данных ЕРЗ.</w:t>
      </w:r>
    </w:p>
    <w:p w:rsidR="00AC6519" w:rsidRDefault="00AC6519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AC6519" w:rsidRDefault="00AC6519" w:rsidP="0010632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519">
        <w:rPr>
          <w:rFonts w:ascii="Times New Roman" w:hAnsi="Times New Roman" w:cs="Times New Roman"/>
          <w:sz w:val="28"/>
          <w:szCs w:val="28"/>
        </w:rPr>
        <w:t xml:space="preserve">В Татарстане </w:t>
      </w:r>
      <w:r w:rsidRPr="00AC651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C6519">
        <w:rPr>
          <w:rFonts w:ascii="Times New Roman" w:hAnsi="Times New Roman" w:cs="Times New Roman"/>
          <w:sz w:val="28"/>
          <w:szCs w:val="28"/>
        </w:rPr>
        <w:t>-</w:t>
      </w:r>
      <w:r w:rsidRPr="00AC6519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C65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удерживает место в пятёрке крупнейших, на 1 февраля 2026 года объём строящегося жилья составил 215,2 тыс. кв. м – 6,55% регионального рынка. Лидирует «Суварстроит» (275,9 тыс. кв.</w:t>
      </w:r>
      <w:r w:rsidR="00785B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м), второе место у «Ак Барс Дом» (260,7 тыс. кв. м), третье у ПИК (227,1 тыс. кв. м). Топ-5 контролируют 35% всего объёма строящегося жилья в республике</w:t>
      </w:r>
      <w:r w:rsidR="00785B2F">
        <w:rPr>
          <w:rFonts w:ascii="Times New Roman" w:hAnsi="Times New Roman" w:cs="Times New Roman"/>
          <w:sz w:val="28"/>
          <w:szCs w:val="28"/>
        </w:rPr>
        <w:t xml:space="preserve"> (таблица 3.1.5)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6519" w:rsidRDefault="00AC6519" w:rsidP="00785B2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рейтинге застройщиков Казани на 1 февраля 2026 года </w:t>
      </w:r>
      <w:r w:rsidRPr="00AC651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C6519">
        <w:rPr>
          <w:rFonts w:ascii="Times New Roman" w:hAnsi="Times New Roman" w:cs="Times New Roman"/>
          <w:sz w:val="28"/>
          <w:szCs w:val="28"/>
        </w:rPr>
        <w:t>-</w:t>
      </w:r>
      <w:r w:rsidRPr="00AC6519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785B2F">
        <w:rPr>
          <w:rFonts w:ascii="Times New Roman" w:hAnsi="Times New Roman" w:cs="Times New Roman"/>
          <w:sz w:val="28"/>
          <w:szCs w:val="28"/>
        </w:rPr>
        <w:t xml:space="preserve"> занимает 3-е место. Текущая стройка – 193,8 тыс. кв. м, ввод за 2025 год – 58,7 тыс. кв. м.</w:t>
      </w:r>
    </w:p>
    <w:p w:rsidR="00785B2F" w:rsidRDefault="00785B2F" w:rsidP="00785B2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Впереди «Суварстроит» (275 тыс. кв. м стройки, 63,1 тыс. кв. м ввода) и ПИК (227 тыс. кв. м стройки, 34,8 тыс. кв. м ввода). Ключевое преимущество </w:t>
      </w:r>
      <w:r w:rsidRPr="00AC651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C6519">
        <w:rPr>
          <w:rFonts w:ascii="Times New Roman" w:hAnsi="Times New Roman" w:cs="Times New Roman"/>
          <w:sz w:val="28"/>
          <w:szCs w:val="28"/>
        </w:rPr>
        <w:t>-</w:t>
      </w:r>
      <w:r w:rsidRPr="00AC6519">
        <w:rPr>
          <w:rFonts w:ascii="Times New Roman" w:hAnsi="Times New Roman" w:cs="Times New Roman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sz w:val="28"/>
          <w:szCs w:val="28"/>
        </w:rPr>
        <w:t xml:space="preserve"> перед ПИК – дисциплина: рейтинг ЕРЗ у обоих 5 баллов, но отставание по объёму стройки от лидера составляет 81 тыс. кв. м.</w:t>
      </w:r>
    </w:p>
    <w:p w:rsidR="00785B2F" w:rsidRDefault="00785B2F" w:rsidP="00785B2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85B2F" w:rsidRDefault="00785B2F" w:rsidP="00785B2F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3.1.5</w:t>
      </w:r>
    </w:p>
    <w:p w:rsidR="00785B2F" w:rsidRDefault="00785B2F" w:rsidP="00785B2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застройщиков Татарстана на 1 февраля 2026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694"/>
        <w:gridCol w:w="1979"/>
      </w:tblGrid>
      <w:tr w:rsidR="00785B2F" w:rsidRPr="00785B2F" w:rsidTr="005E7705"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Застройщик</w:t>
            </w:r>
          </w:p>
        </w:tc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Стройка, тыс. кв. м</w:t>
            </w:r>
          </w:p>
        </w:tc>
        <w:tc>
          <w:tcPr>
            <w:tcW w:w="2694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Ввод</w:t>
            </w:r>
            <w:r w:rsidR="005E7705">
              <w:rPr>
                <w:rFonts w:ascii="Times New Roman" w:hAnsi="Times New Roman" w:cs="Times New Roman"/>
                <w:sz w:val="24"/>
                <w:szCs w:val="28"/>
              </w:rPr>
              <w:t xml:space="preserve"> 2025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, тыс. кв. м</w:t>
            </w:r>
          </w:p>
        </w:tc>
        <w:tc>
          <w:tcPr>
            <w:tcW w:w="1979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Рейтинг ЕРЗ</w:t>
            </w:r>
          </w:p>
        </w:tc>
      </w:tr>
      <w:tr w:rsidR="00770C4E" w:rsidRPr="00785B2F" w:rsidTr="005E7705">
        <w:tc>
          <w:tcPr>
            <w:tcW w:w="2336" w:type="dxa"/>
          </w:tcPr>
          <w:p w:rsidR="00770C4E" w:rsidRDefault="00770C4E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336" w:type="dxa"/>
          </w:tcPr>
          <w:p w:rsidR="00770C4E" w:rsidRDefault="00770C4E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2694" w:type="dxa"/>
          </w:tcPr>
          <w:p w:rsidR="00770C4E" w:rsidRDefault="00770C4E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979" w:type="dxa"/>
          </w:tcPr>
          <w:p w:rsidR="00770C4E" w:rsidRDefault="00770C4E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</w:tr>
      <w:tr w:rsidR="00785B2F" w:rsidRPr="00785B2F" w:rsidTr="005E7705"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Суварстроит</w:t>
            </w:r>
          </w:p>
        </w:tc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275</w:t>
            </w:r>
          </w:p>
        </w:tc>
        <w:tc>
          <w:tcPr>
            <w:tcW w:w="2694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63,1</w:t>
            </w:r>
          </w:p>
        </w:tc>
        <w:tc>
          <w:tcPr>
            <w:tcW w:w="1979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785B2F" w:rsidRPr="00785B2F" w:rsidTr="005E7705"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ПИК</w:t>
            </w:r>
          </w:p>
        </w:tc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227</w:t>
            </w:r>
          </w:p>
        </w:tc>
        <w:tc>
          <w:tcPr>
            <w:tcW w:w="2694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34,8</w:t>
            </w:r>
          </w:p>
        </w:tc>
        <w:tc>
          <w:tcPr>
            <w:tcW w:w="1979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785B2F" w:rsidRPr="00785B2F" w:rsidTr="005E7705"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Унистрой</w:t>
            </w:r>
          </w:p>
        </w:tc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193,8</w:t>
            </w:r>
          </w:p>
        </w:tc>
        <w:tc>
          <w:tcPr>
            <w:tcW w:w="2694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58,7</w:t>
            </w:r>
          </w:p>
        </w:tc>
        <w:tc>
          <w:tcPr>
            <w:tcW w:w="1979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785B2F" w:rsidRPr="00785B2F" w:rsidTr="005E7705"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Камастройинвест</w:t>
            </w:r>
          </w:p>
        </w:tc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193</w:t>
            </w:r>
          </w:p>
        </w:tc>
        <w:tc>
          <w:tcPr>
            <w:tcW w:w="2694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5,1</w:t>
            </w:r>
          </w:p>
        </w:tc>
        <w:tc>
          <w:tcPr>
            <w:tcW w:w="1979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</w:tr>
      <w:tr w:rsidR="00785B2F" w:rsidRPr="00785B2F" w:rsidTr="005E7705"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Ак Барс Дом</w:t>
            </w:r>
          </w:p>
        </w:tc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183</w:t>
            </w:r>
          </w:p>
        </w:tc>
        <w:tc>
          <w:tcPr>
            <w:tcW w:w="2694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82,3</w:t>
            </w:r>
          </w:p>
        </w:tc>
        <w:tc>
          <w:tcPr>
            <w:tcW w:w="1979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785B2F" w:rsidRPr="00785B2F" w:rsidTr="005E7705"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СМУ-88</w:t>
            </w:r>
          </w:p>
        </w:tc>
        <w:tc>
          <w:tcPr>
            <w:tcW w:w="2336" w:type="dxa"/>
          </w:tcPr>
          <w:p w:rsidR="00785B2F" w:rsidRPr="00785B2F" w:rsidRDefault="00785B2F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155</w:t>
            </w:r>
          </w:p>
        </w:tc>
        <w:tc>
          <w:tcPr>
            <w:tcW w:w="2694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107,6</w:t>
            </w:r>
          </w:p>
        </w:tc>
        <w:tc>
          <w:tcPr>
            <w:tcW w:w="1979" w:type="dxa"/>
          </w:tcPr>
          <w:p w:rsidR="00785B2F" w:rsidRPr="00785B2F" w:rsidRDefault="005E7705" w:rsidP="00785B2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</w:tbl>
    <w:p w:rsidR="00785B2F" w:rsidRDefault="005E7705" w:rsidP="005E7705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Источник: составлено автором на основе ЕРЗ.</w:t>
      </w:r>
    </w:p>
    <w:p w:rsidR="005E7705" w:rsidRDefault="005E7705" w:rsidP="005E7705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5E7705" w:rsidRDefault="005E7705" w:rsidP="005E7705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5E7705" w:rsidRDefault="005E7705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705">
        <w:rPr>
          <w:rFonts w:ascii="Times New Roman" w:hAnsi="Times New Roman" w:cs="Times New Roman"/>
          <w:sz w:val="28"/>
          <w:szCs w:val="28"/>
        </w:rPr>
        <w:t>Федеральные девелоперы усиливают давление, их доля на рынке Казани выросла с 18% в 2024 году до 32% в 2025 году.</w:t>
      </w:r>
      <w:r>
        <w:rPr>
          <w:rFonts w:ascii="Times New Roman" w:hAnsi="Times New Roman" w:cs="Times New Roman"/>
          <w:sz w:val="28"/>
          <w:szCs w:val="28"/>
        </w:rPr>
        <w:t xml:space="preserve"> Количество федеральных игроков достигло семи – ПИК, «Самолёт», ФСК, «ТОЧНО» и другие</w:t>
      </w:r>
      <w:r w:rsidR="00770C4E">
        <w:rPr>
          <w:rFonts w:ascii="Times New Roman" w:hAnsi="Times New Roman" w:cs="Times New Roman"/>
          <w:sz w:val="28"/>
          <w:szCs w:val="28"/>
        </w:rPr>
        <w:t xml:space="preserve"> (таблица 3.1.6)</w:t>
      </w:r>
      <w:r>
        <w:rPr>
          <w:rFonts w:ascii="Times New Roman" w:hAnsi="Times New Roman" w:cs="Times New Roman"/>
          <w:sz w:val="28"/>
          <w:szCs w:val="28"/>
        </w:rPr>
        <w:t xml:space="preserve">. Конкуренция обостряется, но локальные компании </w:t>
      </w:r>
      <w:r w:rsidR="00B600A2">
        <w:rPr>
          <w:rFonts w:ascii="Times New Roman" w:hAnsi="Times New Roman" w:cs="Times New Roman"/>
          <w:sz w:val="28"/>
          <w:szCs w:val="28"/>
        </w:rPr>
        <w:t xml:space="preserve">сохраняют лидерство по объёму стройки и ввода. Полного поглощения рынка не ожидается – скорее, отрасль переходит на новый уровень стандартов.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1"/>
        <w:gridCol w:w="1303"/>
        <w:gridCol w:w="1304"/>
        <w:gridCol w:w="1304"/>
        <w:gridCol w:w="1299"/>
        <w:gridCol w:w="1304"/>
        <w:gridCol w:w="1310"/>
      </w:tblGrid>
      <w:tr w:rsidR="00770C4E" w:rsidTr="00770C4E">
        <w:tc>
          <w:tcPr>
            <w:tcW w:w="1521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 w:rsidRPr="00770C4E">
              <w:rPr>
                <w:rFonts w:ascii="Times New Roman" w:hAnsi="Times New Roman" w:cs="Times New Roman"/>
                <w:sz w:val="24"/>
                <w:szCs w:val="28"/>
              </w:rPr>
              <w:t>Застройщик</w:t>
            </w:r>
          </w:p>
        </w:tc>
        <w:tc>
          <w:tcPr>
            <w:tcW w:w="1303" w:type="dxa"/>
          </w:tcPr>
          <w:p w:rsid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Продано квартир, </w:t>
            </w:r>
          </w:p>
          <w:p w:rsid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Продано квартир, кв.м.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Продано квартир, млн. руб.</w:t>
            </w:r>
          </w:p>
        </w:tc>
        <w:tc>
          <w:tcPr>
            <w:tcW w:w="1299" w:type="dxa"/>
          </w:tcPr>
          <w:p w:rsid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Средняя </w:t>
            </w:r>
          </w:p>
          <w:p w:rsid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цена кв. м, </w:t>
            </w:r>
          </w:p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тыс. руб.</w:t>
            </w:r>
          </w:p>
        </w:tc>
        <w:tc>
          <w:tcPr>
            <w:tcW w:w="1304" w:type="dxa"/>
          </w:tcPr>
          <w:p w:rsid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Средняя площадь кварт., </w:t>
            </w:r>
          </w:p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кв. м.</w:t>
            </w:r>
          </w:p>
        </w:tc>
        <w:tc>
          <w:tcPr>
            <w:tcW w:w="1310" w:type="dxa"/>
          </w:tcPr>
          <w:p w:rsid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Средняя цена за квартир.,</w:t>
            </w:r>
          </w:p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руб.</w:t>
            </w:r>
          </w:p>
        </w:tc>
      </w:tr>
      <w:tr w:rsidR="00770C4E" w:rsidTr="00770C4E">
        <w:tc>
          <w:tcPr>
            <w:tcW w:w="1521" w:type="dxa"/>
          </w:tcPr>
          <w:p w:rsidR="00770C4E" w:rsidRPr="00785B2F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303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299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310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</w:t>
            </w:r>
          </w:p>
        </w:tc>
      </w:tr>
      <w:tr w:rsidR="00770C4E" w:rsidTr="00770C4E">
        <w:tc>
          <w:tcPr>
            <w:tcW w:w="1521" w:type="dxa"/>
          </w:tcPr>
          <w:p w:rsidR="00770C4E" w:rsidRPr="00785B2F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Ак Барс Дом</w:t>
            </w:r>
          </w:p>
        </w:tc>
        <w:tc>
          <w:tcPr>
            <w:tcW w:w="1303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1 118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52,50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11 897</w:t>
            </w:r>
          </w:p>
        </w:tc>
        <w:tc>
          <w:tcPr>
            <w:tcW w:w="1299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211 996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50,4</w:t>
            </w:r>
          </w:p>
        </w:tc>
        <w:tc>
          <w:tcPr>
            <w:tcW w:w="1310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10 988 478</w:t>
            </w:r>
          </w:p>
        </w:tc>
      </w:tr>
      <w:tr w:rsidR="00770C4E" w:rsidTr="00770C4E">
        <w:tc>
          <w:tcPr>
            <w:tcW w:w="1521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Унистрой</w:t>
            </w:r>
          </w:p>
        </w:tc>
        <w:tc>
          <w:tcPr>
            <w:tcW w:w="1303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1 063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47,72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11 091</w:t>
            </w:r>
          </w:p>
        </w:tc>
        <w:tc>
          <w:tcPr>
            <w:tcW w:w="1299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243 989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46,6</w:t>
            </w:r>
          </w:p>
        </w:tc>
        <w:tc>
          <w:tcPr>
            <w:tcW w:w="1310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10 695 725</w:t>
            </w:r>
          </w:p>
        </w:tc>
      </w:tr>
      <w:tr w:rsidR="00770C4E" w:rsidTr="00770C4E">
        <w:tc>
          <w:tcPr>
            <w:tcW w:w="1521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ПИК</w:t>
            </w:r>
          </w:p>
        </w:tc>
        <w:tc>
          <w:tcPr>
            <w:tcW w:w="1303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1 797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72,32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15 341</w:t>
            </w:r>
          </w:p>
        </w:tc>
        <w:tc>
          <w:tcPr>
            <w:tcW w:w="1299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230 930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43,2</w:t>
            </w:r>
          </w:p>
        </w:tc>
        <w:tc>
          <w:tcPr>
            <w:tcW w:w="1310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10 477 001</w:t>
            </w:r>
          </w:p>
        </w:tc>
      </w:tr>
      <w:tr w:rsidR="00770C4E" w:rsidTr="00770C4E">
        <w:tc>
          <w:tcPr>
            <w:tcW w:w="1521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СМУ 88</w:t>
            </w:r>
          </w:p>
        </w:tc>
        <w:tc>
          <w:tcPr>
            <w:tcW w:w="1303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641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41,42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9 078</w:t>
            </w:r>
          </w:p>
        </w:tc>
        <w:tc>
          <w:tcPr>
            <w:tcW w:w="1299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291 077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58,1</w:t>
            </w:r>
          </w:p>
        </w:tc>
        <w:tc>
          <w:tcPr>
            <w:tcW w:w="1310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17 313 198</w:t>
            </w:r>
          </w:p>
        </w:tc>
      </w:tr>
      <w:tr w:rsidR="00770C4E" w:rsidTr="00770C4E">
        <w:tc>
          <w:tcPr>
            <w:tcW w:w="1521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Суварстроит</w:t>
            </w:r>
          </w:p>
        </w:tc>
        <w:tc>
          <w:tcPr>
            <w:tcW w:w="1303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1 431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52,27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12 113</w:t>
            </w:r>
          </w:p>
        </w:tc>
        <w:tc>
          <w:tcPr>
            <w:tcW w:w="1299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219 293</w:t>
            </w:r>
          </w:p>
        </w:tc>
        <w:tc>
          <w:tcPr>
            <w:tcW w:w="1304" w:type="dxa"/>
          </w:tcPr>
          <w:p w:rsidR="00770C4E" w:rsidRPr="00770C4E" w:rsidRDefault="00770C4E" w:rsidP="00770C4E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35,9</w:t>
            </w:r>
          </w:p>
        </w:tc>
        <w:tc>
          <w:tcPr>
            <w:tcW w:w="1310" w:type="dxa"/>
          </w:tcPr>
          <w:p w:rsidR="00770C4E" w:rsidRPr="00770C4E" w:rsidRDefault="00770C4E" w:rsidP="00770C4E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8 583 614</w:t>
            </w:r>
          </w:p>
        </w:tc>
      </w:tr>
    </w:tbl>
    <w:p w:rsidR="00770C4E" w:rsidRPr="00770C4E" w:rsidRDefault="00770C4E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0C4E">
        <w:rPr>
          <w:rFonts w:ascii="Times New Roman" w:hAnsi="Times New Roman" w:cs="Times New Roman"/>
          <w:sz w:val="24"/>
          <w:szCs w:val="24"/>
        </w:rPr>
        <w:t>Источник: данные взяты из архива компании.</w:t>
      </w:r>
    </w:p>
    <w:p w:rsidR="00770C4E" w:rsidRDefault="00770C4E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35587" w:rsidRDefault="00E070BB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Организационная структура АО «УК «Унистрой» формировалась постепенно, по мере эволюции компании от локального застройщика к федеральному игроку.</w:t>
      </w:r>
    </w:p>
    <w:p w:rsidR="00E070BB" w:rsidRDefault="00E070BB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Юридически компания зарегистрирована 28 мая 2019 года по адресу: г. Казань, ул. Журналистов, 62Б, помещение 21. Уставной капитал составляет 341 297 100 рублей.</w:t>
      </w:r>
    </w:p>
    <w:p w:rsidR="00135587" w:rsidRDefault="00E070BB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«Унистрой» входит в Группу компаний «Джи-групп» (АО «Джи-групп») – холдинговая структура, аккумулирующую управленческие и финансовые функции. </w:t>
      </w:r>
    </w:p>
    <w:p w:rsidR="007A6EB0" w:rsidRDefault="00E070BB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2022 года</w:t>
      </w:r>
      <w:r w:rsidR="00475BAD">
        <w:rPr>
          <w:rFonts w:ascii="Times New Roman" w:hAnsi="Times New Roman" w:cs="Times New Roman"/>
          <w:sz w:val="28"/>
          <w:szCs w:val="28"/>
        </w:rPr>
        <w:t xml:space="preserve"> АО «Джи-групп» утвердило Совет</w:t>
      </w:r>
      <w:r>
        <w:rPr>
          <w:rFonts w:ascii="Times New Roman" w:hAnsi="Times New Roman" w:cs="Times New Roman"/>
          <w:sz w:val="28"/>
          <w:szCs w:val="28"/>
        </w:rPr>
        <w:t xml:space="preserve"> директоров с участием независимых директоров, что повысило прозрачность корпоративного управления. По состоянию на 2025 год в составе Совета директоров входят 8 человек, включая независимых членов: Василия Сидорова, Олега Выогина, Елену Хисамову и Бориса Кима. </w:t>
      </w:r>
    </w:p>
    <w:p w:rsidR="007A6EB0" w:rsidRDefault="00E070BB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Председателем Совета директоров является Ильфат Гильфанов. </w:t>
      </w:r>
    </w:p>
    <w:p w:rsidR="00E070BB" w:rsidRDefault="007A6EB0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2025 году состав обновился – его покинул основатель компании Рашит Гильфанов, а вошли генеральный директо</w:t>
      </w:r>
      <w:r w:rsidR="00B33AB8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«Джи- групп» Линар Халитов и генеральный директор УК «Унистрой» Радик Салимгареев. </w:t>
      </w:r>
    </w:p>
    <w:p w:rsidR="007A6EB0" w:rsidRPr="00135587" w:rsidRDefault="007A6EB0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5587">
        <w:rPr>
          <w:rFonts w:ascii="Times New Roman" w:hAnsi="Times New Roman" w:cs="Times New Roman"/>
          <w:sz w:val="28"/>
          <w:szCs w:val="28"/>
        </w:rPr>
        <w:t>Организационная структура выстроена по дивизионному принципу с централизованным управлением ключевыми функциями</w:t>
      </w:r>
      <w:r w:rsidR="00F23B0C" w:rsidRPr="00135587">
        <w:rPr>
          <w:rFonts w:ascii="Times New Roman" w:hAnsi="Times New Roman" w:cs="Times New Roman"/>
          <w:sz w:val="28"/>
          <w:szCs w:val="28"/>
        </w:rPr>
        <w:t xml:space="preserve"> (рисунок 3.1.6)</w:t>
      </w:r>
      <w:r w:rsidRPr="0013558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A6EB0" w:rsidRDefault="007A6EB0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5587">
        <w:rPr>
          <w:rFonts w:ascii="Times New Roman" w:hAnsi="Times New Roman" w:cs="Times New Roman"/>
          <w:sz w:val="28"/>
          <w:szCs w:val="28"/>
        </w:rPr>
        <w:t>Головной офис в Казани координирует стратегию, финансы, закупки, маркетинг и строительный комплекс.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5587" w:rsidRDefault="00135587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35587" w:rsidRDefault="00135587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35587" w:rsidRDefault="00135587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35587" w:rsidRDefault="00135587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35587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3D1175A1" wp14:editId="61DA8298">
            <wp:simplePos x="0" y="0"/>
            <wp:positionH relativeFrom="column">
              <wp:posOffset>-864870</wp:posOffset>
            </wp:positionH>
            <wp:positionV relativeFrom="paragraph">
              <wp:posOffset>1943100</wp:posOffset>
            </wp:positionV>
            <wp:extent cx="8512175" cy="4639310"/>
            <wp:effectExtent l="0" t="6667" r="0" b="0"/>
            <wp:wrapTopAndBottom/>
            <wp:docPr id="12" name="Рисунок 12" descr="C:\Users\Basto\Downloads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sto\Downloads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12175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5587">
        <w:rPr>
          <w:rFonts w:ascii="Times New Roman" w:hAnsi="Times New Roman" w:cs="Times New Roman"/>
          <w:sz w:val="24"/>
          <w:szCs w:val="28"/>
        </w:rPr>
        <w:t>Источник: составлено автором на основе данных из архива.</w:t>
      </w:r>
    </w:p>
    <w:p w:rsidR="00135587" w:rsidRDefault="00135587" w:rsidP="005E770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135587" w:rsidRDefault="00135587" w:rsidP="00F162C2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5587">
        <w:rPr>
          <w:rFonts w:ascii="Times New Roman" w:hAnsi="Times New Roman" w:cs="Times New Roman"/>
          <w:sz w:val="28"/>
          <w:szCs w:val="28"/>
        </w:rPr>
        <w:t xml:space="preserve">Рис. 3.1.6 – Организационная </w:t>
      </w:r>
      <w:r w:rsidR="00F162C2">
        <w:rPr>
          <w:rFonts w:ascii="Times New Roman" w:hAnsi="Times New Roman" w:cs="Times New Roman"/>
          <w:sz w:val="28"/>
          <w:szCs w:val="28"/>
        </w:rPr>
        <w:t>структур</w:t>
      </w:r>
    </w:p>
    <w:p w:rsidR="004E5DD2" w:rsidRPr="00BF5696" w:rsidRDefault="007A6EB0" w:rsidP="00BF5696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Ключевые подразделения</w:t>
      </w:r>
      <w:r w:rsidR="00BF5696">
        <w:rPr>
          <w:rFonts w:ascii="Times New Roman" w:hAnsi="Times New Roman" w:cs="Times New Roman"/>
          <w:sz w:val="28"/>
          <w:szCs w:val="28"/>
        </w:rPr>
        <w:t xml:space="preserve"> (рисунок 3.1.7</w:t>
      </w:r>
      <w:r w:rsidR="004E5D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A6EB0" w:rsidRDefault="007A6EB0" w:rsidP="007A6EB0">
      <w:pPr>
        <w:pStyle w:val="a9"/>
        <w:numPr>
          <w:ilvl w:val="0"/>
          <w:numId w:val="1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EB0">
        <w:rPr>
          <w:rFonts w:ascii="Times New Roman" w:hAnsi="Times New Roman" w:cs="Times New Roman"/>
          <w:sz w:val="28"/>
          <w:szCs w:val="28"/>
        </w:rPr>
        <w:t>Дирекция по продукту и бренду (разработка</w:t>
      </w:r>
      <w:r w:rsidR="002D3DBA">
        <w:rPr>
          <w:rFonts w:ascii="Times New Roman" w:hAnsi="Times New Roman" w:cs="Times New Roman"/>
          <w:sz w:val="28"/>
          <w:szCs w:val="28"/>
        </w:rPr>
        <w:t xml:space="preserve"> архитектурных решений и цепочки УТП (рисунок 3.1.</w:t>
      </w:r>
      <w:r w:rsidR="004E5DD2">
        <w:rPr>
          <w:rFonts w:ascii="Times New Roman" w:hAnsi="Times New Roman" w:cs="Times New Roman"/>
          <w:sz w:val="28"/>
          <w:szCs w:val="28"/>
        </w:rPr>
        <w:t>8</w:t>
      </w:r>
      <w:r w:rsidR="002D3DB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A6EB0" w:rsidRDefault="007A6EB0" w:rsidP="007A6EB0">
      <w:pPr>
        <w:pStyle w:val="a9"/>
        <w:numPr>
          <w:ilvl w:val="0"/>
          <w:numId w:val="1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EB0">
        <w:rPr>
          <w:rFonts w:ascii="Times New Roman" w:hAnsi="Times New Roman" w:cs="Times New Roman"/>
          <w:sz w:val="28"/>
          <w:szCs w:val="28"/>
        </w:rPr>
        <w:t>Коммерческий блок</w:t>
      </w:r>
      <w:r>
        <w:rPr>
          <w:rFonts w:ascii="Times New Roman" w:hAnsi="Times New Roman" w:cs="Times New Roman"/>
          <w:sz w:val="28"/>
          <w:szCs w:val="28"/>
        </w:rPr>
        <w:t xml:space="preserve"> (продажи, маркетинг, развитие сервисных продаж);</w:t>
      </w:r>
    </w:p>
    <w:p w:rsidR="007A6EB0" w:rsidRDefault="007A6EB0" w:rsidP="007A6EB0">
      <w:pPr>
        <w:pStyle w:val="a9"/>
        <w:numPr>
          <w:ilvl w:val="0"/>
          <w:numId w:val="1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Строительный комплекс (проектирование, закупки, технический надзор, контроль соблюдения сроков и качества);</w:t>
      </w:r>
    </w:p>
    <w:p w:rsidR="007A6EB0" w:rsidRDefault="007A6EB0" w:rsidP="007A6EB0">
      <w:pPr>
        <w:pStyle w:val="a9"/>
        <w:numPr>
          <w:ilvl w:val="0"/>
          <w:numId w:val="1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Сервисное направление (эксплуатация объектов через УК «Территория комфорта»);</w:t>
      </w:r>
    </w:p>
    <w:p w:rsidR="002D3DBA" w:rsidRPr="002D3DBA" w:rsidRDefault="007A6EB0" w:rsidP="002D3DBA">
      <w:pPr>
        <w:pStyle w:val="a9"/>
        <w:numPr>
          <w:ilvl w:val="0"/>
          <w:numId w:val="1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отделы (фина</w:t>
      </w:r>
      <w:r w:rsidR="00B33AB8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сы, юридический, </w:t>
      </w:r>
      <w:r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7A6EB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7A6E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D3DBA" w:rsidRPr="00F23B0C" w:rsidRDefault="002D3DBA" w:rsidP="002D3DB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D3D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2E6E74FA" wp14:editId="5E8A5CFB">
            <wp:simplePos x="0" y="0"/>
            <wp:positionH relativeFrom="column">
              <wp:posOffset>43815</wp:posOffset>
            </wp:positionH>
            <wp:positionV relativeFrom="paragraph">
              <wp:posOffset>-302895</wp:posOffset>
            </wp:positionV>
            <wp:extent cx="5940425" cy="2834640"/>
            <wp:effectExtent l="0" t="0" r="3175" b="3810"/>
            <wp:wrapTopAndBottom/>
            <wp:docPr id="10" name="Рисунок 10" descr="C:\Users\Basto\Downloads\2026-05-23_01-24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sto\Downloads\2026-05-23_01-24-3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23B0C">
        <w:rPr>
          <w:rFonts w:ascii="Times New Roman" w:hAnsi="Times New Roman" w:cs="Times New Roman"/>
          <w:sz w:val="24"/>
          <w:szCs w:val="28"/>
        </w:rPr>
        <w:t>Источник: данные взяты из архива компании.</w:t>
      </w:r>
    </w:p>
    <w:p w:rsidR="002D3DBA" w:rsidRPr="00C54F5C" w:rsidRDefault="002D3DBA" w:rsidP="002D3DB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3.1.</w:t>
      </w:r>
      <w:r w:rsidR="00BF569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 Цепочка создания ценности.</w:t>
      </w:r>
    </w:p>
    <w:p w:rsidR="002D3DBA" w:rsidRPr="002D3DBA" w:rsidRDefault="002D3DBA" w:rsidP="002D3DBA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7A6EB0" w:rsidRDefault="007A6EB0" w:rsidP="007A6EB0">
      <w:pPr>
        <w:pStyle w:val="a9"/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2024-2025 годах компания внедряет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7A6E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>
        <w:rPr>
          <w:rFonts w:ascii="Times New Roman" w:hAnsi="Times New Roman" w:cs="Times New Roman"/>
          <w:sz w:val="28"/>
          <w:szCs w:val="28"/>
        </w:rPr>
        <w:t xml:space="preserve"> для автоматизации строительного процесса, документооборота и управление финансами.</w:t>
      </w:r>
    </w:p>
    <w:p w:rsidR="00F23B0C" w:rsidRPr="00F23B0C" w:rsidRDefault="007A6EB0" w:rsidP="00F23B0C">
      <w:pPr>
        <w:pStyle w:val="a9"/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каждом городе присутствия создана проектная команда, которая несёт ответственность за реализацию местных проектов. Юридические филиалы оформлены как отдельные юридические лица </w:t>
      </w:r>
      <w:r w:rsidR="00B33AB8">
        <w:rPr>
          <w:rFonts w:ascii="Times New Roman" w:hAnsi="Times New Roman" w:cs="Times New Roman"/>
          <w:sz w:val="28"/>
          <w:szCs w:val="28"/>
        </w:rPr>
        <w:t xml:space="preserve">(ООО Специализированный застройщик «Унистрой-Екатеринбург», ООО «Унистрой-Екатеринбург 3» и другие. В Перми, Нижнем Новгороде, Махачкале действуют обособленные </w:t>
      </w:r>
      <w:r w:rsidR="00B33AB8">
        <w:rPr>
          <w:rFonts w:ascii="Times New Roman" w:hAnsi="Times New Roman" w:cs="Times New Roman"/>
          <w:sz w:val="28"/>
          <w:szCs w:val="28"/>
        </w:rPr>
        <w:lastRenderedPageBreak/>
        <w:t xml:space="preserve">подразделения. В Тольятти, Уфу, Санкт-Петербурге также функционируют местные офисы продаж и строительные подразделения.  </w:t>
      </w:r>
    </w:p>
    <w:p w:rsidR="00F23B0C" w:rsidRDefault="00B33AB8" w:rsidP="00F23B0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B0C">
        <w:rPr>
          <w:rFonts w:ascii="Times New Roman" w:hAnsi="Times New Roman" w:cs="Times New Roman"/>
          <w:sz w:val="28"/>
          <w:szCs w:val="28"/>
        </w:rPr>
        <w:t>Штат сотрудников головной управляющей компании, по открытым данным составляет 65 человек. Общая численность с учётом проектных офисов и сервисных служб превышает 400 человек. По данным на декабрь 2025 года, общее количество штатных единиц по компании составило 310, при этом занято 271 сотрудник (закрыто 87% вакансий). Ключевое направление – строительный блок (Техзаказчик) – укомплектован на 89%. Проектное бюро (АПБ) – НА 83%. В региональных филиалах показатели найма дифференцированы: от 87% в Перми и Уфе до 100% в Нижнем Новгороде. За декабрь 2025 года принято 10 новых сотрудников, уволилось 3</w:t>
      </w:r>
      <w:r w:rsidR="00F23B0C" w:rsidRPr="00F23B0C">
        <w:rPr>
          <w:rFonts w:ascii="Times New Roman" w:hAnsi="Times New Roman" w:cs="Times New Roman"/>
          <w:sz w:val="28"/>
          <w:szCs w:val="28"/>
        </w:rPr>
        <w:t xml:space="preserve"> (рисунок 3.1.</w:t>
      </w:r>
      <w:r w:rsidR="00BF5696">
        <w:rPr>
          <w:rFonts w:ascii="Times New Roman" w:hAnsi="Times New Roman" w:cs="Times New Roman"/>
          <w:sz w:val="28"/>
          <w:szCs w:val="28"/>
        </w:rPr>
        <w:t>8</w:t>
      </w:r>
      <w:r w:rsidR="00F23B0C" w:rsidRPr="00F23B0C">
        <w:rPr>
          <w:rFonts w:ascii="Times New Roman" w:hAnsi="Times New Roman" w:cs="Times New Roman"/>
          <w:sz w:val="28"/>
          <w:szCs w:val="28"/>
        </w:rPr>
        <w:t xml:space="preserve">). </w:t>
      </w:r>
      <w:r w:rsidR="00F23B0C" w:rsidRPr="008F7483">
        <w:rPr>
          <w:rFonts w:ascii="Times New Roman" w:hAnsi="Times New Roman" w:cs="Times New Roman"/>
          <w:sz w:val="28"/>
          <w:szCs w:val="28"/>
        </w:rPr>
        <w:t xml:space="preserve">Многие руководители работают с основания компании. Наличие семейного контроля дисциплинирует топ-менеджмент, но иногда замедляет принятие решений из-за необходимости согласования с собственниками. </w:t>
      </w:r>
    </w:p>
    <w:p w:rsidR="00F23B0C" w:rsidRDefault="00F23B0C" w:rsidP="00F23B0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B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1B402751" wp14:editId="07311F94">
            <wp:simplePos x="0" y="0"/>
            <wp:positionH relativeFrom="column">
              <wp:posOffset>5715</wp:posOffset>
            </wp:positionH>
            <wp:positionV relativeFrom="paragraph">
              <wp:posOffset>310515</wp:posOffset>
            </wp:positionV>
            <wp:extent cx="5953125" cy="2714625"/>
            <wp:effectExtent l="0" t="0" r="9525" b="9525"/>
            <wp:wrapTopAndBottom/>
            <wp:docPr id="5" name="Рисунок 5" descr="C:\Users\Basto\Downloads\2026-05-23_00-55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sto\Downloads\2026-05-23_00-55-0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3B0C" w:rsidRPr="00F23B0C" w:rsidRDefault="00F23B0C" w:rsidP="00F23B0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3B0C">
        <w:rPr>
          <w:rFonts w:ascii="Times New Roman" w:hAnsi="Times New Roman" w:cs="Times New Roman"/>
          <w:sz w:val="24"/>
          <w:szCs w:val="28"/>
        </w:rPr>
        <w:t>Источник: данные взяты из архива компании.</w:t>
      </w:r>
    </w:p>
    <w:p w:rsidR="00F23B0C" w:rsidRDefault="00F23B0C" w:rsidP="00F162C2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3.1.</w:t>
      </w:r>
      <w:r w:rsidR="00BF569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Штат сотрудников «Унистрой»</w:t>
      </w:r>
    </w:p>
    <w:p w:rsidR="00F162C2" w:rsidRPr="008F7483" w:rsidRDefault="00F162C2" w:rsidP="00F162C2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3AB8" w:rsidRDefault="00B33AB8" w:rsidP="007A6EB0">
      <w:pPr>
        <w:pStyle w:val="a9"/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B0C">
        <w:rPr>
          <w:rFonts w:ascii="Times New Roman" w:hAnsi="Times New Roman" w:cs="Times New Roman"/>
          <w:sz w:val="28"/>
          <w:szCs w:val="28"/>
        </w:rPr>
        <w:t xml:space="preserve">Компания уделяет внимание кадровой политике: разработана </w:t>
      </w:r>
      <w:r w:rsidR="00475BAD">
        <w:rPr>
          <w:rFonts w:ascii="Times New Roman" w:hAnsi="Times New Roman" w:cs="Times New Roman"/>
          <w:sz w:val="28"/>
          <w:szCs w:val="28"/>
        </w:rPr>
        <w:t>и</w:t>
      </w:r>
      <w:r w:rsidRPr="00F23B0C">
        <w:rPr>
          <w:rFonts w:ascii="Times New Roman" w:hAnsi="Times New Roman" w:cs="Times New Roman"/>
          <w:sz w:val="28"/>
          <w:szCs w:val="28"/>
        </w:rPr>
        <w:t xml:space="preserve"> внедряется система наставничества, проводится оценка методом 360 градусов, реализована </w:t>
      </w:r>
      <w:r w:rsidRPr="00F23B0C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F23B0C">
        <w:rPr>
          <w:rFonts w:ascii="Times New Roman" w:hAnsi="Times New Roman" w:cs="Times New Roman"/>
          <w:sz w:val="28"/>
          <w:szCs w:val="28"/>
        </w:rPr>
        <w:t>-стратегия, ориентированная на удержание ключевых сотрудников.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B0C" w:rsidRDefault="00F23B0C" w:rsidP="00F162C2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483">
        <w:rPr>
          <w:rFonts w:ascii="Times New Roman" w:hAnsi="Times New Roman" w:cs="Times New Roman"/>
          <w:sz w:val="28"/>
          <w:szCs w:val="28"/>
        </w:rPr>
        <w:lastRenderedPageBreak/>
        <w:t xml:space="preserve">В компанию внедрены цифровые инструменты управления. Строительный контроль ведётся через облачную платформу </w:t>
      </w:r>
      <w:r w:rsidRPr="008F7483">
        <w:rPr>
          <w:rFonts w:ascii="Times New Roman" w:hAnsi="Times New Roman" w:cs="Times New Roman"/>
          <w:sz w:val="28"/>
          <w:szCs w:val="28"/>
          <w:lang w:val="en-US"/>
        </w:rPr>
        <w:t>SODIS</w:t>
      </w:r>
      <w:r w:rsidRPr="008F7483">
        <w:rPr>
          <w:rFonts w:ascii="Times New Roman" w:hAnsi="Times New Roman" w:cs="Times New Roman"/>
          <w:sz w:val="28"/>
          <w:szCs w:val="28"/>
        </w:rPr>
        <w:t xml:space="preserve">. Проектирование частично переведено в </w:t>
      </w:r>
      <w:r w:rsidRPr="008F7483">
        <w:rPr>
          <w:rFonts w:ascii="Times New Roman" w:hAnsi="Times New Roman" w:cs="Times New Roman"/>
          <w:sz w:val="28"/>
          <w:szCs w:val="28"/>
          <w:lang w:val="en-US"/>
        </w:rPr>
        <w:t>BIM</w:t>
      </w:r>
      <w:r w:rsidRPr="008F7483">
        <w:rPr>
          <w:rFonts w:ascii="Times New Roman" w:hAnsi="Times New Roman" w:cs="Times New Roman"/>
          <w:sz w:val="28"/>
          <w:szCs w:val="28"/>
        </w:rPr>
        <w:t>-технологии, хотя полный переход на информационное моделирование пока не завершен. Выставление счетов и бухгалтерский учёт автоматизирован на базе 1С. Документооборот и взаимодействие с сотрудниками переведён в электронный вид на базе платформы СБИС и отечественного мессенджера «</w:t>
      </w:r>
      <w:r w:rsidRPr="008F7483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8F7483">
        <w:rPr>
          <w:rFonts w:ascii="Times New Roman" w:hAnsi="Times New Roman" w:cs="Times New Roman"/>
          <w:sz w:val="28"/>
          <w:szCs w:val="28"/>
        </w:rPr>
        <w:t xml:space="preserve">», но доля бумажных согласований остаётся </w:t>
      </w:r>
      <w:r w:rsidRPr="00F23B0C">
        <w:rPr>
          <w:rFonts w:ascii="Times New Roman" w:hAnsi="Times New Roman" w:cs="Times New Roman"/>
          <w:sz w:val="28"/>
          <w:szCs w:val="28"/>
        </w:rPr>
        <w:t>заметной. Контроль качества строительства и соблюдения сроков осуществляется через рейтингование генподрядчиков (рисунок 3.1.</w:t>
      </w:r>
      <w:r w:rsidR="00BF5696">
        <w:rPr>
          <w:rFonts w:ascii="Times New Roman" w:hAnsi="Times New Roman" w:cs="Times New Roman"/>
          <w:sz w:val="28"/>
          <w:szCs w:val="28"/>
        </w:rPr>
        <w:t>9</w:t>
      </w:r>
      <w:r w:rsidRPr="00F23B0C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В конце 2025 года в рейтинге участвовало 9 подрядчиков, оцениваемых по пяти критериям:</w:t>
      </w:r>
    </w:p>
    <w:p w:rsidR="00F23B0C" w:rsidRDefault="00F23B0C" w:rsidP="00F23B0C">
      <w:pPr>
        <w:pStyle w:val="a9"/>
        <w:numPr>
          <w:ilvl w:val="0"/>
          <w:numId w:val="2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риска;</w:t>
      </w:r>
    </w:p>
    <w:p w:rsidR="00F23B0C" w:rsidRDefault="00F23B0C" w:rsidP="00F23B0C">
      <w:pPr>
        <w:pStyle w:val="a9"/>
        <w:numPr>
          <w:ilvl w:val="0"/>
          <w:numId w:val="2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 безопасности;</w:t>
      </w:r>
    </w:p>
    <w:p w:rsidR="00F23B0C" w:rsidRDefault="00F23B0C" w:rsidP="00F23B0C">
      <w:pPr>
        <w:pStyle w:val="a9"/>
        <w:numPr>
          <w:ilvl w:val="0"/>
          <w:numId w:val="2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сроков по строящимся объектам;</w:t>
      </w:r>
    </w:p>
    <w:p w:rsidR="00F23B0C" w:rsidRDefault="00F23B0C" w:rsidP="00F23B0C">
      <w:pPr>
        <w:pStyle w:val="a9"/>
        <w:numPr>
          <w:ilvl w:val="0"/>
          <w:numId w:val="2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ЗОС (заключение о соответствии); </w:t>
      </w:r>
    </w:p>
    <w:p w:rsidR="00F23B0C" w:rsidRDefault="00F23B0C" w:rsidP="00F23B0C">
      <w:pPr>
        <w:pStyle w:val="a9"/>
        <w:numPr>
          <w:ilvl w:val="0"/>
          <w:numId w:val="2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долям рекламации.</w:t>
      </w:r>
    </w:p>
    <w:p w:rsidR="00F23B0C" w:rsidRDefault="00F23B0C" w:rsidP="00F23B0C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Лучшие показатели у компании «Аманат», «Белый Барс», «ВЕСТРОЙ». Худшие у «РРД Инжиниринг», «Моно-2» и другие.</w:t>
      </w:r>
    </w:p>
    <w:p w:rsidR="00F23B0C" w:rsidRDefault="00F162C2" w:rsidP="00F162C2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B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EC79E5" wp14:editId="630D1131">
            <wp:extent cx="5905500" cy="3126009"/>
            <wp:effectExtent l="0" t="0" r="0" b="0"/>
            <wp:docPr id="8" name="Рисунок 8" descr="C:\Users\Basto\Downloads\2026-05-23_00-54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sto\Downloads\2026-05-23_00-54-0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897" cy="317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B0C" w:rsidRPr="00F23B0C" w:rsidRDefault="00F23B0C" w:rsidP="00F23B0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23B0C">
        <w:rPr>
          <w:rFonts w:ascii="Times New Roman" w:hAnsi="Times New Roman" w:cs="Times New Roman"/>
          <w:sz w:val="24"/>
          <w:szCs w:val="28"/>
        </w:rPr>
        <w:t>Источник: данные взяты из архива компании.</w:t>
      </w:r>
    </w:p>
    <w:p w:rsidR="00F23B0C" w:rsidRDefault="00F23B0C" w:rsidP="00F23B0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3.1.</w:t>
      </w:r>
      <w:r w:rsidR="00BF569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Рейтинг по Генподрядчикам</w:t>
      </w:r>
    </w:p>
    <w:p w:rsidR="00475BAD" w:rsidRDefault="00475BAD" w:rsidP="00F23B0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Проведенный анализ показывает, что АО «Унистрой» (входит в Группу «Джи-групп») </w:t>
      </w:r>
      <w:r w:rsidR="00E31BF6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1BF6">
        <w:rPr>
          <w:rFonts w:ascii="Times New Roman" w:hAnsi="Times New Roman" w:cs="Times New Roman"/>
          <w:sz w:val="28"/>
          <w:szCs w:val="28"/>
        </w:rPr>
        <w:t>состоявшимся</w:t>
      </w:r>
      <w:r>
        <w:rPr>
          <w:rFonts w:ascii="Times New Roman" w:hAnsi="Times New Roman" w:cs="Times New Roman"/>
          <w:sz w:val="28"/>
          <w:szCs w:val="28"/>
        </w:rPr>
        <w:t xml:space="preserve"> федеральны</w:t>
      </w:r>
      <w:r w:rsidR="00E31BF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девелопер</w:t>
      </w:r>
      <w:r w:rsidR="00E31BF6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. География присутствия охватывает 8 городов, портфель включает как реализованные, так и строящиеся объекты. </w:t>
      </w:r>
    </w:p>
    <w:p w:rsidR="00475BAD" w:rsidRDefault="00475BAD" w:rsidP="00F23B0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Финансовое положение компании остаётся устойчивым, хотя давление высокой ключевой ставки сказывается </w:t>
      </w:r>
      <w:r w:rsidR="000A6F01">
        <w:rPr>
          <w:rFonts w:ascii="Times New Roman" w:hAnsi="Times New Roman" w:cs="Times New Roman"/>
          <w:sz w:val="28"/>
          <w:szCs w:val="28"/>
        </w:rPr>
        <w:t xml:space="preserve">на прибыльности и стоимости обслуживания долга. </w:t>
      </w:r>
    </w:p>
    <w:p w:rsidR="000A6F01" w:rsidRDefault="000A6F01" w:rsidP="000A6F0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Среди ключевых проблем: зависимость от ипотечного рынка, задержки стартов проектов из-за сложностей с разрешительной документацией, нестабильная работа генподрядчиков, </w:t>
      </w:r>
      <w:r w:rsidR="00E31BF6">
        <w:rPr>
          <w:rFonts w:ascii="Times New Roman" w:hAnsi="Times New Roman" w:cs="Times New Roman"/>
          <w:sz w:val="28"/>
          <w:szCs w:val="28"/>
        </w:rPr>
        <w:t xml:space="preserve">недостаточная автоматизация меж-функциональных согласований. Эти направления станут основой для дальнейшего совершенствования бизнес-процессов. </w:t>
      </w:r>
      <w:r>
        <w:rPr>
          <w:rFonts w:ascii="Times New Roman" w:hAnsi="Times New Roman" w:cs="Times New Roman"/>
          <w:sz w:val="28"/>
          <w:szCs w:val="28"/>
        </w:rPr>
        <w:t xml:space="preserve">Сильные стороны – обширный портфель, репутация надёжного застройщика и опыт федеральной экспансии. </w:t>
      </w:r>
    </w:p>
    <w:p w:rsidR="002B6CAA" w:rsidRDefault="002B6CAA" w:rsidP="000A6F0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6CAA" w:rsidRDefault="002B6CAA" w:rsidP="002B6CAA">
      <w:pPr>
        <w:pStyle w:val="1"/>
        <w:spacing w:before="0" w:line="360" w:lineRule="auto"/>
        <w:ind w:right="-284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B935F1">
        <w:rPr>
          <w:rFonts w:ascii="Times New Roman" w:hAnsi="Times New Roman" w:cs="Times New Roman"/>
          <w:b/>
          <w:color w:val="auto"/>
          <w:sz w:val="28"/>
        </w:rPr>
        <w:t>3.2 Анализ бизнес процессов АО «Унистрой» нуждающихся в оптимизации</w:t>
      </w:r>
    </w:p>
    <w:p w:rsidR="002B6CAA" w:rsidRDefault="002B6CAA" w:rsidP="002B6CAA">
      <w:pPr>
        <w:spacing w:line="360" w:lineRule="auto"/>
        <w:ind w:right="-284"/>
        <w:jc w:val="both"/>
      </w:pP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6D7547">
        <w:rPr>
          <w:rFonts w:ascii="Times New Roman" w:hAnsi="Times New Roman" w:cs="Times New Roman"/>
          <w:sz w:val="28"/>
        </w:rPr>
        <w:t>Начало деятельности</w:t>
      </w:r>
      <w:r>
        <w:rPr>
          <w:rFonts w:ascii="Times New Roman" w:hAnsi="Times New Roman" w:cs="Times New Roman"/>
          <w:sz w:val="28"/>
        </w:rPr>
        <w:t xml:space="preserve"> «Унистрой» связано с формированием самой идеи компании, в основе которой лежит удовлетворение потребностей клиента. В цепочке основного бизнес-процесса (от инициации проекта до послепродажного обслуживания) участвуют 3 ключевых звена: </w:t>
      </w:r>
    </w:p>
    <w:p w:rsidR="002B6CAA" w:rsidRDefault="002B6CAA" w:rsidP="002B6CAA">
      <w:pPr>
        <w:pStyle w:val="a9"/>
        <w:numPr>
          <w:ilvl w:val="0"/>
          <w:numId w:val="4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инициация и подготовка земельного участка; </w:t>
      </w:r>
    </w:p>
    <w:p w:rsidR="002B6CAA" w:rsidRDefault="002B6CAA" w:rsidP="002B6CAA">
      <w:pPr>
        <w:pStyle w:val="a9"/>
        <w:numPr>
          <w:ilvl w:val="0"/>
          <w:numId w:val="4"/>
        </w:numPr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потребностей для компании и клиента;</w:t>
      </w:r>
    </w:p>
    <w:p w:rsidR="002B6CAA" w:rsidRDefault="002B6CAA" w:rsidP="002B6CAA">
      <w:pPr>
        <w:pStyle w:val="a9"/>
        <w:numPr>
          <w:ilvl w:val="0"/>
          <w:numId w:val="4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старт строительства и продаж.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каждом из этих этапов задействовано множество участников и процессов, которые детализированы на рисунке 3.2.1. 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16AE8F" wp14:editId="66335B3F">
            <wp:extent cx="5940425" cy="4969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AA" w:rsidRPr="00101267" w:rsidRDefault="002B6CAA" w:rsidP="002B6CAA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101267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2B6CAA" w:rsidRDefault="002B6CAA" w:rsidP="002B6CAA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3.2.1 – Цепочка основного бизнес-процесса компании «Унистрой»</w:t>
      </w:r>
    </w:p>
    <w:p w:rsidR="002B6CAA" w:rsidRPr="006D7547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каждом этапе участвуют множество внутренних подразделений и внешний воздействий (органы власти, банки, подрядчики, поставщики). Их взаимодействие регулируется как корпоративными регламентами, так и требованием законодательства.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Анализ деятельности АО «Унистрой» и представленных документов позволяет выделить пять сквозных бизнес-процесса, которые вносят наибольший вклад в операционные издержки, задержки и риски. А именно: </w:t>
      </w:r>
    </w:p>
    <w:p w:rsidR="002B6CAA" w:rsidRDefault="002B6CAA" w:rsidP="002B6CAA">
      <w:pPr>
        <w:pStyle w:val="a9"/>
        <w:numPr>
          <w:ilvl w:val="0"/>
          <w:numId w:val="3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согласования смет, цен на материалы (рисунок 3.2.1) и письма на удорожание (рисунок 3.2.3);</w:t>
      </w:r>
    </w:p>
    <w:p w:rsidR="002B6CAA" w:rsidRDefault="002B6CAA" w:rsidP="002B6CAA">
      <w:pPr>
        <w:pStyle w:val="a9"/>
        <w:numPr>
          <w:ilvl w:val="0"/>
          <w:numId w:val="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взаимодействие между аналитическим отделом, сметным отделом и отделом закупок;</w:t>
      </w:r>
    </w:p>
    <w:p w:rsidR="002B6CAA" w:rsidRDefault="002B6CAA" w:rsidP="002B6CAA">
      <w:pPr>
        <w:pStyle w:val="a9"/>
        <w:numPr>
          <w:ilvl w:val="0"/>
          <w:numId w:val="3"/>
        </w:numPr>
        <w:spacing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процесс тендерного отбора поставщиков и подрядчиков на площадке «Маркет Унистрой»;</w:t>
      </w:r>
    </w:p>
    <w:p w:rsidR="002B6CAA" w:rsidRDefault="002B6CAA" w:rsidP="002B6CAA">
      <w:pPr>
        <w:pStyle w:val="a9"/>
        <w:numPr>
          <w:ilvl w:val="0"/>
          <w:numId w:val="3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мониторинга и актуализации цен на строительные материалы;</w:t>
      </w:r>
    </w:p>
    <w:p w:rsidR="002B6CAA" w:rsidRDefault="002B6CAA" w:rsidP="002B6CAA">
      <w:pPr>
        <w:pStyle w:val="a9"/>
        <w:numPr>
          <w:ilvl w:val="0"/>
          <w:numId w:val="3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документооборота и внутреннего согласования.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АО «Унистрой» проверка смет и писем удорожания закреплена за аналитическим отделом (Отдел мониторинга и контроля цен). Источником задач служат СБИС, 1С: Документооборот и бумажные носители. Сметы делят на три типа: генподрядные (ГП), наружные сети (с коэффициентами) и мелкие формы до трёх листов. Для каждого предусмотрен </w:t>
      </w:r>
      <w:r>
        <w:rPr>
          <w:rFonts w:ascii="Times New Roman" w:hAnsi="Times New Roman" w:cs="Times New Roman"/>
          <w:sz w:val="28"/>
          <w:lang w:val="en-US"/>
        </w:rPr>
        <w:t>Excel</w:t>
      </w:r>
      <w:r w:rsidRPr="00EC1962">
        <w:rPr>
          <w:rFonts w:ascii="Times New Roman" w:hAnsi="Times New Roman" w:cs="Times New Roman"/>
          <w:sz w:val="28"/>
        </w:rPr>
        <w:t>-шаблон.</w:t>
      </w:r>
    </w:p>
    <w:p w:rsidR="002B6CAA" w:rsidRPr="00EC1962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0F197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405BAC" wp14:editId="4F09C2E1">
            <wp:extent cx="5940425" cy="4372259"/>
            <wp:effectExtent l="0" t="0" r="3175" b="9525"/>
            <wp:docPr id="6" name="Рисунок 6" descr="C:\Users\Basto\Downloads\Диаграмма без названия-Страница-2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sto\Downloads\Диаграмма без названия-Страница-2.drawio (2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CAA" w:rsidRPr="000721AE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0721AE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3.2.1 – Процесс согласования смет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Аналитик переносит смету в шаблон, заполняет отчёт (объект, подрядчик, суммы). Позиции ТОП-30 отмечают «1» - их цены проверяет отдел закупок. </w:t>
      </w:r>
      <w:r>
        <w:rPr>
          <w:rFonts w:ascii="Times New Roman" w:hAnsi="Times New Roman" w:cs="Times New Roman"/>
          <w:sz w:val="28"/>
        </w:rPr>
        <w:lastRenderedPageBreak/>
        <w:t>Позиции «Материал + работа» и «Фасонные части %» получают метку «2» - их согласуют со сметным отделом (рисунок 3.2.2).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5470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861312" wp14:editId="66967181">
            <wp:extent cx="3924300" cy="6619875"/>
            <wp:effectExtent l="0" t="0" r="0" b="0"/>
            <wp:docPr id="11" name="Рисунок 11" descr="C:\Users\Basto\Downloads\2026-05-23_15-26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asto\Downloads\2026-05-23_15-26-2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CAA" w:rsidRPr="00D54701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D54701">
        <w:rPr>
          <w:rFonts w:ascii="Times New Roman" w:hAnsi="Times New Roman" w:cs="Times New Roman"/>
          <w:sz w:val="24"/>
        </w:rPr>
        <w:t>Источник: данные взяты из архива компании.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 3.2.2 – Сметная документация 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Остальные материалы аналитик проверяет сам: запрашивает минимум три коммерческих предложения, использует прайсы из сетевой папки или личные кабинеты поставщиков (ЭТМ, Русский свет). </w:t>
      </w:r>
      <w:r>
        <w:rPr>
          <w:rFonts w:ascii="Times New Roman" w:hAnsi="Times New Roman" w:cs="Times New Roman"/>
          <w:sz w:val="28"/>
          <w:lang w:val="en-US"/>
        </w:rPr>
        <w:t>OZON</w:t>
      </w:r>
      <w:r>
        <w:rPr>
          <w:rFonts w:ascii="Times New Roman" w:hAnsi="Times New Roman" w:cs="Times New Roman"/>
          <w:sz w:val="28"/>
        </w:rPr>
        <w:t xml:space="preserve"> и</w:t>
      </w:r>
      <w:r w:rsidRPr="006D75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Wildberries – запрещены. Дорогостоящие позиции в приоритете. После корректировки цен в столбце </w:t>
      </w:r>
      <w:r>
        <w:rPr>
          <w:rFonts w:ascii="Times New Roman" w:hAnsi="Times New Roman" w:cs="Times New Roman"/>
          <w:sz w:val="28"/>
        </w:rPr>
        <w:lastRenderedPageBreak/>
        <w:t xml:space="preserve">«Цена аналитика» (если цена не меняется – «0») смету согласуют с подрядчиком. Затем нажимают кнопку «ГОТОВО» в шаблоне, файл сохраняет в сетевую папку. Далее сметный отдел запускает документ в 1С: ДО, где аналитик повторно подтверждает цены и нажимает «Согласовано» (рисунок 3.2.3). 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0464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48D4525" wp14:editId="2AA269C5">
            <wp:extent cx="5940425" cy="6516953"/>
            <wp:effectExtent l="0" t="0" r="3175" b="0"/>
            <wp:docPr id="13" name="Рисунок 13" descr="C:\Users\Basto\Downloads\Диаграмма без названия-Страница-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sto\Downloads\Диаграмма без названия-Страница-3.drawio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1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D04645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54701">
        <w:rPr>
          <w:rFonts w:ascii="Times New Roman" w:hAnsi="Times New Roman" w:cs="Times New Roman"/>
          <w:sz w:val="28"/>
        </w:rPr>
        <w:t>Рис. 3.2.</w:t>
      </w:r>
      <w:r>
        <w:rPr>
          <w:rFonts w:ascii="Times New Roman" w:hAnsi="Times New Roman" w:cs="Times New Roman"/>
          <w:sz w:val="28"/>
        </w:rPr>
        <w:t>3</w:t>
      </w:r>
      <w:r w:rsidRPr="00D54701">
        <w:rPr>
          <w:rFonts w:ascii="Times New Roman" w:hAnsi="Times New Roman" w:cs="Times New Roman"/>
          <w:sz w:val="28"/>
        </w:rPr>
        <w:t xml:space="preserve"> – Алгоритм смет и калькуляции</w:t>
      </w:r>
    </w:p>
    <w:p w:rsidR="002B6CAA" w:rsidRPr="00D54701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Письма на удорожание материалов поступают через 1С: ДО или СБИС. Аналитик проверяет наличие КС-2, КС-3 (остатки работ), сравнивает заявленную цену со сметной, требует три коммерческих предложения. При нехватке данных запрашивает их у подрядчика. Отказ без обоснования ведёт к отклонению. Решение о согласовании принимает исполнительный директор. Согласованную цену фиксируют в ответном письме, которое подписывает исполнительный директор, скан-копию сохранят в папку (рисунок 3.2.4).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90875" cy="5562600"/>
            <wp:effectExtent l="0" t="0" r="9525" b="0"/>
            <wp:docPr id="15" name="Рисунок 15" descr="Диаграмма без названия-Страница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без названия-Страница-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D04645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54701">
        <w:rPr>
          <w:rFonts w:ascii="Times New Roman" w:hAnsi="Times New Roman" w:cs="Times New Roman"/>
          <w:sz w:val="28"/>
        </w:rPr>
        <w:t>Рис. 3.2.</w:t>
      </w:r>
      <w:r>
        <w:rPr>
          <w:rFonts w:ascii="Times New Roman" w:hAnsi="Times New Roman" w:cs="Times New Roman"/>
          <w:sz w:val="28"/>
        </w:rPr>
        <w:t>4</w:t>
      </w:r>
      <w:r w:rsidRPr="00D54701">
        <w:rPr>
          <w:rFonts w:ascii="Times New Roman" w:hAnsi="Times New Roman" w:cs="Times New Roman"/>
          <w:sz w:val="28"/>
        </w:rPr>
        <w:t xml:space="preserve"> – Алгоритм </w:t>
      </w:r>
      <w:r>
        <w:rPr>
          <w:rFonts w:ascii="Times New Roman" w:hAnsi="Times New Roman" w:cs="Times New Roman"/>
          <w:sz w:val="28"/>
        </w:rPr>
        <w:t>проверок писем удорожания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Три подразделения участвуют в цепочке согласования смет, но функциональные границы размыты. Аналитический отдел проверяет рыночные </w:t>
      </w:r>
      <w:r>
        <w:rPr>
          <w:rFonts w:ascii="Times New Roman" w:hAnsi="Times New Roman" w:cs="Times New Roman"/>
          <w:sz w:val="28"/>
        </w:rPr>
        <w:lastRenderedPageBreak/>
        <w:t>цены на материалы. Сметный отдел отвечает за расчёт трудозатрат, механизмов и позиций «Материал + работа». Отдел закупок ведёт прямые контракты на ТОП-30 и организует конкурсы на площадке «Маркет Унистрой».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 декабрь 2025 года отдел проверил сметы на общую сумму 608,9 млн. рублей. Экономия составила 21,8 млн. рублей (3,6 % от суммы). В штате четыре аналитика. На одного сотрудника приходится до 152 млн. рублей входных смет в месяц.</w:t>
      </w:r>
    </w:p>
    <w:p w:rsidR="002B6CAA" w:rsidRPr="00CB7106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База данных по материалам в АО «Унистрой» децентрализована. Аналитический отдел хранит прайсы в сетевой папке и ведёт файл «Свод поставщиков». Данные обновляются при поступлении нового коммерческого предложения или после проверки очередной сметы, единого регламента актуализации нет. В компании внедрена 1С: Долстрой – система учёта цен и отчётности по продажам. Однако аналитический отдел её не использует. Все проверки ведутся в </w:t>
      </w:r>
      <w:r>
        <w:rPr>
          <w:rFonts w:ascii="Times New Roman" w:hAnsi="Times New Roman" w:cs="Times New Roman"/>
          <w:sz w:val="28"/>
          <w:lang w:val="en-US"/>
        </w:rPr>
        <w:t>Excel</w:t>
      </w:r>
      <w:r>
        <w:rPr>
          <w:rFonts w:ascii="Times New Roman" w:hAnsi="Times New Roman" w:cs="Times New Roman"/>
          <w:sz w:val="28"/>
        </w:rPr>
        <w:t>-шаблонах с ручным копированием цен.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Источники цен для аналитика: личные кабинеты поставщиков, сайты (Лемана, Мегастрой, Металлоторг и другие), запросы по электронной почте, ответы с тендерной площадки «Маркет Унистрой». Для металлопроката используют шаблон расчёта цены за метр от Металлоторга. 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«Маркет Унистрой» - внутренняя тендерная площадка для выбора генподрядчика, субподрядчиков и поставщиков. Организация регистрируются в одной или нескольких категориях. За декабрь 2025 года зарегистрировалась 481 новая компания, за весь год – 5 821. Топ-10 категорий по приросту – сваи, замки дверные, балконные блоки. Количество размещенных конкурсов растёт (рисунок 3.2.5). 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AA6DC0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C06F6D" wp14:editId="787F7FA9">
            <wp:extent cx="5940425" cy="3168227"/>
            <wp:effectExtent l="0" t="0" r="3175" b="0"/>
            <wp:docPr id="14" name="Рисунок 14" descr="C:\Users\Basto\Downloads\2026-05-23_17-58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sto\Downloads\2026-05-23_17-58-3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CAA" w:rsidRPr="00AA6DC0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AA6DC0">
        <w:rPr>
          <w:rFonts w:ascii="Times New Roman" w:hAnsi="Times New Roman" w:cs="Times New Roman"/>
          <w:sz w:val="24"/>
        </w:rPr>
        <w:t>Источник: данные взяты из архива компании.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3.2.5 – Маркет Унистрой, новые организации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Наибольший прирост за месяц дали категории «Металлоконструкции», «Блоки и другие стеновые материалы», «Блоки ФБС».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Заказчик размещает конкурс с техническим заданием и сметой, участники подают коммерческие предложения. Конкурсная комиссия выбирает победителя. Результат фиксируется протоколом, далее заключается договор.</w:t>
      </w:r>
    </w:p>
    <w:p w:rsidR="002B6CAA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компании используют три канала документооборота: СБИС (корпоративный канал </w:t>
      </w:r>
      <w:r>
        <w:rPr>
          <w:rFonts w:ascii="Times New Roman" w:hAnsi="Times New Roman" w:cs="Times New Roman"/>
          <w:sz w:val="28"/>
          <w:lang w:val="en-US"/>
        </w:rPr>
        <w:t>S</w:t>
      </w:r>
      <w:r>
        <w:rPr>
          <w:rFonts w:ascii="Times New Roman" w:hAnsi="Times New Roman" w:cs="Times New Roman"/>
          <w:sz w:val="28"/>
        </w:rPr>
        <w:t xml:space="preserve">aby), 1С: Документооборот и бумажные носители. СБИС обеспечивает коммуникацию (чаты, звонки, базы знаний), кадровые документы и частично согласование задач. 1С: ДО обрабатывает договоры, служебные записки, рекламации и сметы. Бумажные оригиналы с подписями хранят в канцелярии. </w:t>
      </w:r>
    </w:p>
    <w:p w:rsidR="002B6CAA" w:rsidRPr="00CB7106" w:rsidRDefault="002B6CAA" w:rsidP="002B6CA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Система управления филиалами предусматривает матрицы взаимодействия (центр-филиал, эскалации) и регламент совещаний. Однако эти документы не интегрированы с цифровыми инструментами. Например, протокол управленческого совещания фиксирует решение, но в 1С: ДО или СБИС задание на исполнение не создаётся автоматически. При трёх параллельных системах </w:t>
      </w:r>
      <w:r>
        <w:rPr>
          <w:rFonts w:ascii="Times New Roman" w:hAnsi="Times New Roman" w:cs="Times New Roman"/>
          <w:sz w:val="28"/>
        </w:rPr>
        <w:lastRenderedPageBreak/>
        <w:t>документооборота каждый тратит в среднем 30-60 минут в день на перенос данных из одного канала в другой. Годовые потери рабочего времени оцениваются в несколько тысяч человеко-часов.</w:t>
      </w:r>
    </w:p>
    <w:p w:rsidR="002B6CAA" w:rsidRPr="00F23B0C" w:rsidRDefault="002B6CAA" w:rsidP="000A6F01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2B6CAA" w:rsidRPr="00F23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E57" w:rsidRDefault="002B1E57" w:rsidP="001F7719">
      <w:pPr>
        <w:spacing w:after="0" w:line="240" w:lineRule="auto"/>
      </w:pPr>
      <w:r>
        <w:separator/>
      </w:r>
    </w:p>
  </w:endnote>
  <w:endnote w:type="continuationSeparator" w:id="0">
    <w:p w:rsidR="002B1E57" w:rsidRDefault="002B1E57" w:rsidP="001F7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E57" w:rsidRDefault="002B1E57" w:rsidP="001F7719">
      <w:pPr>
        <w:spacing w:after="0" w:line="240" w:lineRule="auto"/>
      </w:pPr>
      <w:r>
        <w:separator/>
      </w:r>
    </w:p>
  </w:footnote>
  <w:footnote w:type="continuationSeparator" w:id="0">
    <w:p w:rsidR="002B1E57" w:rsidRDefault="002B1E57" w:rsidP="001F7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0B3F"/>
    <w:multiLevelType w:val="hybridMultilevel"/>
    <w:tmpl w:val="4A564E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C3524BB"/>
    <w:multiLevelType w:val="hybridMultilevel"/>
    <w:tmpl w:val="6DBA14F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CEB7384"/>
    <w:multiLevelType w:val="hybridMultilevel"/>
    <w:tmpl w:val="E026A8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EE90426"/>
    <w:multiLevelType w:val="hybridMultilevel"/>
    <w:tmpl w:val="E026A8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C10"/>
    <w:rsid w:val="000078CC"/>
    <w:rsid w:val="000417B1"/>
    <w:rsid w:val="000A6F01"/>
    <w:rsid w:val="000C473F"/>
    <w:rsid w:val="000D572A"/>
    <w:rsid w:val="00106321"/>
    <w:rsid w:val="00111B2F"/>
    <w:rsid w:val="00135587"/>
    <w:rsid w:val="00136717"/>
    <w:rsid w:val="00151732"/>
    <w:rsid w:val="001A6E20"/>
    <w:rsid w:val="001A7553"/>
    <w:rsid w:val="001E21EC"/>
    <w:rsid w:val="001F7719"/>
    <w:rsid w:val="002507E7"/>
    <w:rsid w:val="00255CD8"/>
    <w:rsid w:val="00255FE6"/>
    <w:rsid w:val="00276A16"/>
    <w:rsid w:val="002B1E57"/>
    <w:rsid w:val="002B6CAA"/>
    <w:rsid w:val="002D1621"/>
    <w:rsid w:val="002D3DBA"/>
    <w:rsid w:val="00347E02"/>
    <w:rsid w:val="0035335C"/>
    <w:rsid w:val="003901C6"/>
    <w:rsid w:val="003A1F39"/>
    <w:rsid w:val="003D354C"/>
    <w:rsid w:val="00422879"/>
    <w:rsid w:val="00475BAD"/>
    <w:rsid w:val="004948BB"/>
    <w:rsid w:val="004E5DD2"/>
    <w:rsid w:val="00544D33"/>
    <w:rsid w:val="00583987"/>
    <w:rsid w:val="005A7589"/>
    <w:rsid w:val="005B1EA0"/>
    <w:rsid w:val="005E7705"/>
    <w:rsid w:val="007333A2"/>
    <w:rsid w:val="00770C4E"/>
    <w:rsid w:val="00785B2F"/>
    <w:rsid w:val="00794FD8"/>
    <w:rsid w:val="007A6EB0"/>
    <w:rsid w:val="007B51B1"/>
    <w:rsid w:val="007C2A03"/>
    <w:rsid w:val="00803978"/>
    <w:rsid w:val="00855747"/>
    <w:rsid w:val="008C46B1"/>
    <w:rsid w:val="008F7483"/>
    <w:rsid w:val="00903E11"/>
    <w:rsid w:val="00943C10"/>
    <w:rsid w:val="00982E80"/>
    <w:rsid w:val="009B46EA"/>
    <w:rsid w:val="00AC6519"/>
    <w:rsid w:val="00B242FD"/>
    <w:rsid w:val="00B24322"/>
    <w:rsid w:val="00B33AB8"/>
    <w:rsid w:val="00B600A2"/>
    <w:rsid w:val="00BE49BF"/>
    <w:rsid w:val="00BF5696"/>
    <w:rsid w:val="00C1421F"/>
    <w:rsid w:val="00C50F40"/>
    <w:rsid w:val="00C54F5C"/>
    <w:rsid w:val="00CE7651"/>
    <w:rsid w:val="00D34D80"/>
    <w:rsid w:val="00DE6769"/>
    <w:rsid w:val="00E070BB"/>
    <w:rsid w:val="00E17254"/>
    <w:rsid w:val="00E175EF"/>
    <w:rsid w:val="00E31BF6"/>
    <w:rsid w:val="00EE27AD"/>
    <w:rsid w:val="00F162C2"/>
    <w:rsid w:val="00F235DA"/>
    <w:rsid w:val="00F23B0C"/>
    <w:rsid w:val="00F6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C560"/>
  <w15:chartTrackingRefBased/>
  <w15:docId w15:val="{CECE7F6B-7B63-4452-8F25-2A018789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9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9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9B4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11B2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F77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F7719"/>
  </w:style>
  <w:style w:type="paragraph" w:styleId="a7">
    <w:name w:val="footer"/>
    <w:basedOn w:val="a"/>
    <w:link w:val="a8"/>
    <w:uiPriority w:val="99"/>
    <w:unhideWhenUsed/>
    <w:rsid w:val="001F77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F7719"/>
  </w:style>
  <w:style w:type="paragraph" w:styleId="a9">
    <w:name w:val="List Paragraph"/>
    <w:basedOn w:val="a"/>
    <w:uiPriority w:val="34"/>
    <w:qFormat/>
    <w:rsid w:val="007A6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7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asto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asto\Desktop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4586111111111111"/>
          <c:y val="0.15946777486147562"/>
          <c:w val="0.80969444444444449"/>
          <c:h val="0.71590259550889468"/>
        </c:manualLayout>
      </c:layout>
      <c:barChart>
        <c:barDir val="col"/>
        <c:grouping val="clustered"/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Объём ввода</c:v>
                </c:pt>
              </c:strCache>
            </c:strRef>
          </c:tx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BE4-4B4E-A1F9-0D57C191C5C4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BE4-4B4E-A1F9-0D57C191C5C4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DBE4-4B4E-A1F9-0D57C191C5C4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DBE4-4B4E-A1F9-0D57C191C5C4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DBE4-4B4E-A1F9-0D57C191C5C4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DBE4-4B4E-A1F9-0D57C191C5C4}"/>
              </c:ext>
            </c:extLst>
          </c:dPt>
          <c:dPt>
            <c:idx val="6"/>
            <c:invertIfNegative val="0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DBE4-4B4E-A1F9-0D57C191C5C4}"/>
              </c:ext>
            </c:extLst>
          </c:dPt>
          <c:dPt>
            <c:idx val="7"/>
            <c:invertIfNegative val="0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DBE4-4B4E-A1F9-0D57C191C5C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Лист1!$A$2:$A$9</c:f>
              <c:numCache>
                <c:formatCode>General</c:formatCode>
                <c:ptCount val="8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  <c:pt idx="6">
                  <c:v>2024</c:v>
                </c:pt>
                <c:pt idx="7">
                  <c:v>2025</c:v>
                </c:pt>
              </c:numCache>
            </c:numRef>
          </c:cat>
          <c:val>
            <c:numRef>
              <c:f>Лист1!$B$2:$B$9</c:f>
              <c:numCache>
                <c:formatCode>0</c:formatCode>
                <c:ptCount val="8"/>
                <c:pt idx="0">
                  <c:v>184.499</c:v>
                </c:pt>
                <c:pt idx="1">
                  <c:v>232.71199999999999</c:v>
                </c:pt>
                <c:pt idx="2">
                  <c:v>209.33699999999999</c:v>
                </c:pt>
                <c:pt idx="3">
                  <c:v>247.82400000000001</c:v>
                </c:pt>
                <c:pt idx="4">
                  <c:v>161.499</c:v>
                </c:pt>
                <c:pt idx="5">
                  <c:v>127.339</c:v>
                </c:pt>
                <c:pt idx="6">
                  <c:v>89.834000000000003</c:v>
                </c:pt>
                <c:pt idx="7">
                  <c:v>274.65600000000001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DBE4-4B4E-A1F9-0D57C191C5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6791960"/>
        <c:axId val="486792288"/>
      </c:barChart>
      <c:catAx>
        <c:axId val="486791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6792288"/>
        <c:crosses val="autoZero"/>
        <c:auto val="1"/>
        <c:lblAlgn val="ctr"/>
        <c:lblOffset val="100"/>
        <c:noMultiLvlLbl val="0"/>
      </c:catAx>
      <c:valAx>
        <c:axId val="486792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Объём ввода,</a:t>
                </a: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тыс. кв. 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67919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0134055118110242"/>
          <c:y val="9.2431102362204712E-2"/>
          <c:w val="0.40287467191601051"/>
          <c:h val="0.6714577865266842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7716-4869-8F62-4303BF992FF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7716-4869-8F62-4303BF992FF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7716-4869-8F62-4303BF992FF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7716-4869-8F62-4303BF992FF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lt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Лист4!$A$1:$A$4</c:f>
              <c:strCache>
                <c:ptCount val="4"/>
                <c:pt idx="0">
                  <c:v>Казань </c:v>
                </c:pt>
                <c:pt idx="1">
                  <c:v>Санкт-Петербург</c:v>
                </c:pt>
                <c:pt idx="2">
                  <c:v>Екатеринбург</c:v>
                </c:pt>
                <c:pt idx="3">
                  <c:v>Другие проекты </c:v>
                </c:pt>
              </c:strCache>
            </c:strRef>
          </c:cat>
          <c:val>
            <c:numRef>
              <c:f>Лист4!$B$1:$B$4</c:f>
              <c:numCache>
                <c:formatCode>0%</c:formatCode>
                <c:ptCount val="4"/>
                <c:pt idx="0">
                  <c:v>0.59</c:v>
                </c:pt>
                <c:pt idx="1">
                  <c:v>0.17</c:v>
                </c:pt>
                <c:pt idx="2">
                  <c:v>0.13</c:v>
                </c:pt>
                <c:pt idx="3">
                  <c:v>0.11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716-4869-8F62-4303BF992FFA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2.6995188101487311E-2"/>
          <c:y val="0.79208333333333336"/>
          <c:w val="0.95695013123359585"/>
          <c:h val="0.152361111111111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7B374-A5DC-4674-A483-EC611141E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23</Pages>
  <Words>3388</Words>
  <Characters>19312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Basto1985@mail.ru</dc:creator>
  <cp:keywords/>
  <dc:description/>
  <cp:lastModifiedBy>Basto1985@mail.ru</cp:lastModifiedBy>
  <cp:revision>25</cp:revision>
  <dcterms:created xsi:type="dcterms:W3CDTF">2026-05-15T15:53:00Z</dcterms:created>
  <dcterms:modified xsi:type="dcterms:W3CDTF">2026-05-24T11:41:00Z</dcterms:modified>
</cp:coreProperties>
</file>