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Министерство науки и высшего образования Российской Федерации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Федеральное государственное автономное образовательное учреждение высшего образования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«Казанский (Приволжский) федеральный университет»</w:t>
      </w:r>
    </w:p>
    <w:p>
      <w:pPr>
        <w:spacing w:line="360" w:lineRule="auto" w:before="0" w:after="0"/>
        <w:ind w:firstLine="0"/>
        <w:jc w:val="both"/>
      </w:pPr>
    </w:p>
    <w:p>
      <w:pPr>
        <w:spacing w:line="360" w:lineRule="auto" w:before="0" w:after="0"/>
        <w:ind w:firstLine="0"/>
        <w:jc w:val="both"/>
      </w:pP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i w:val="0"/>
          <w:sz w:val="28"/>
        </w:rPr>
        <w:t>Институт управления, экономики и финансов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i w:val="0"/>
          <w:sz w:val="28"/>
        </w:rPr>
        <w:t>Кафедра _______________________________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i w:val="0"/>
          <w:sz w:val="28"/>
        </w:rPr>
        <w:t>Направление подготовки: _______________________________</w:t>
      </w:r>
    </w:p>
    <w:p>
      <w:pPr>
        <w:spacing w:line="360" w:lineRule="auto" w:before="0" w:after="0"/>
        <w:ind w:firstLine="0"/>
        <w:jc w:val="both"/>
      </w:pPr>
    </w:p>
    <w:p>
      <w:pPr>
        <w:spacing w:line="360" w:lineRule="auto" w:before="0" w:after="0"/>
        <w:ind w:firstLine="0"/>
        <w:jc w:val="both"/>
      </w:pPr>
    </w:p>
    <w:p>
      <w:pPr>
        <w:spacing w:line="360" w:lineRule="auto" w:before="0" w:after="0"/>
        <w:ind w:firstLine="0"/>
        <w:jc w:val="both"/>
      </w:pPr>
    </w:p>
    <w:p>
      <w:pPr>
        <w:spacing w:line="360" w:lineRule="auto" w:before="0" w:after="0"/>
        <w:ind w:firstLine="0"/>
        <w:jc w:val="both"/>
      </w:pP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ОТЧЁТ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о прохождении преддипломной практики</w:t>
      </w:r>
    </w:p>
    <w:p>
      <w:pPr>
        <w:spacing w:line="360" w:lineRule="auto" w:before="0" w:after="0"/>
        <w:ind w:firstLine="0"/>
        <w:jc w:val="both"/>
      </w:pPr>
    </w:p>
    <w:p>
      <w:pPr>
        <w:spacing w:line="360" w:lineRule="auto" w:before="0" w:after="0"/>
        <w:ind w:firstLine="0"/>
        <w:jc w:val="both"/>
      </w:pP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Тема выпускной квалификационной работы: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i w:val="0"/>
          <w:sz w:val="28"/>
        </w:rPr>
        <w:t>«Реинжиниринг бизнес-процессов структурных подразделений Казанского федерального университета»</w:t>
      </w:r>
    </w:p>
    <w:p>
      <w:pPr>
        <w:spacing w:line="360" w:lineRule="auto" w:before="0" w:after="0"/>
        <w:ind w:firstLine="0"/>
        <w:jc w:val="both"/>
      </w:pP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Место прохождения практики: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i w:val="0"/>
          <w:sz w:val="28"/>
        </w:rPr>
        <w:t>Первичная профсоюзная организация работников КФУ Общероссийского Профсоюза образования</w:t>
      </w:r>
    </w:p>
    <w:p>
      <w:pPr>
        <w:spacing w:line="360" w:lineRule="auto" w:before="0" w:after="0"/>
        <w:ind w:firstLine="0"/>
        <w:jc w:val="both"/>
      </w:pP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i w:val="0"/>
          <w:sz w:val="28"/>
        </w:rPr>
        <w:t>Сроки прохождения практики: с 08.05.2026 по 22.05.2026</w:t>
      </w:r>
    </w:p>
    <w:p>
      <w:pPr>
        <w:spacing w:line="360" w:lineRule="auto" w:before="0" w:after="0"/>
        <w:ind w:firstLine="0"/>
        <w:jc w:val="both"/>
      </w:pPr>
    </w:p>
    <w:p>
      <w:pPr>
        <w:spacing w:line="360" w:lineRule="auto" w:before="0" w:after="0"/>
        <w:ind w:firstLine="0"/>
        <w:jc w:val="both"/>
      </w:pPr>
    </w:p>
    <w:p>
      <w:pPr>
        <w:spacing w:line="360" w:lineRule="auto" w:before="0" w:after="0"/>
        <w:ind w:firstLine="0"/>
        <w:jc w:val="both"/>
      </w:pP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Выполнил(а) обучающийся(аяся): _______________________________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Руководитель практики от организации: _______________________________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Руководитель практики от КФУ: _______________________________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Оценка: _______________________________</w:t>
      </w:r>
    </w:p>
    <w:p>
      <w:pPr>
        <w:spacing w:line="360" w:lineRule="auto" w:before="0" w:after="0"/>
        <w:ind w:firstLine="0"/>
        <w:jc w:val="both"/>
      </w:pPr>
    </w:p>
    <w:p>
      <w:pPr>
        <w:spacing w:line="360" w:lineRule="auto" w:before="0" w:after="0"/>
        <w:ind w:firstLine="0"/>
        <w:jc w:val="both"/>
      </w:pPr>
    </w:p>
    <w:p>
      <w:pPr>
        <w:spacing w:line="360" w:lineRule="auto" w:before="0" w:after="0"/>
        <w:ind w:firstLine="0"/>
        <w:jc w:val="both"/>
      </w:pPr>
    </w:p>
    <w:p>
      <w:pPr>
        <w:spacing w:line="360" w:lineRule="auto" w:before="0" w:after="0"/>
        <w:ind w:firstLine="0"/>
        <w:jc w:val="both"/>
      </w:pP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i w:val="0"/>
          <w:sz w:val="28"/>
        </w:rPr>
        <w:t>Казань — 2026</w:t>
      </w:r>
    </w:p>
    <w:p>
      <w:r>
        <w:br w:type="page"/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СОДЕРЖАНИЕ</w:t>
      </w:r>
    </w:p>
    <w:p>
      <w:pPr>
        <w:spacing w:line="360" w:lineRule="auto" w:before="0" w:after="0"/>
        <w:ind w:firstLine="0"/>
        <w:jc w:val="both"/>
      </w:pP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Введение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Раздел 1. Постановка цели и задач исследования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Раздел 2. Анализ предметной области объекта исследования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 xml:space="preserve">    2.1. Анализ текущего состояния бизнес-процессов подразделений (AS IS)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 xml:space="preserve">    2.2. Проектирование целевых процессов (TO BE)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 xml:space="preserve">    2.3. Оценка экономической эффективности реинжиниринга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Раздел 3. Выводы по итогам проведённого исследования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Заключение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Список использованных источников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Приложения</w:t>
      </w:r>
    </w:p>
    <w:p>
      <w:r>
        <w:br w:type="page"/>
      </w:r>
    </w:p>
    <w:p>
      <w:r>
        <w:br w:type="page"/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ВВЕДЕНИЕ</w:t>
      </w:r>
    </w:p>
    <w:p>
      <w:pPr>
        <w:spacing w:line="360" w:lineRule="auto" w:before="0" w:after="0"/>
        <w:ind w:firstLine="0"/>
        <w:jc w:val="both"/>
      </w:pP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Преддипломная практика проводилась в период </w:t>
      </w:r>
      <w:r>
        <w:rPr>
          <w:rFonts w:ascii="Times New Roman" w:hAnsi="Times New Roman"/>
          <w:b/>
          <w:i w:val="0"/>
          <w:sz w:val="28"/>
        </w:rPr>
        <w:t>с 08 мая 2026 года по 22 мая 2026 года</w:t>
      </w:r>
      <w:r>
        <w:rPr>
          <w:rFonts w:ascii="Times New Roman" w:hAnsi="Times New Roman"/>
          <w:b w:val="0"/>
          <w:i w:val="0"/>
          <w:sz w:val="28"/>
        </w:rPr>
        <w:t xml:space="preserve"> на базе </w:t>
      </w:r>
      <w:r>
        <w:rPr>
          <w:rFonts w:ascii="Times New Roman" w:hAnsi="Times New Roman"/>
          <w:b/>
          <w:i w:val="0"/>
          <w:sz w:val="28"/>
        </w:rPr>
        <w:t>Первичной профсоюзной организации работников КФУ Общероссийского Профсоюза образования</w:t>
      </w:r>
      <w:r>
        <w:rPr>
          <w:rFonts w:ascii="Times New Roman" w:hAnsi="Times New Roman"/>
          <w:b w:val="0"/>
          <w:i w:val="0"/>
          <w:sz w:val="28"/>
        </w:rPr>
        <w:t xml:space="preserve"> (далее — ППО работников КФУ). ППО работников КФУ объединяет работников Казанского (Приволжского) федерального университета и тесно взаимодействует со структурными подразделениями вуза, что обеспечило обучающемуся возможность сбора материалов о деятельности Дирекции музеев КФУ, Управления кадров и Управления документооборота и контроля.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Целью преддипломной практики</w:t>
      </w:r>
      <w:r>
        <w:rPr>
          <w:rFonts w:ascii="Times New Roman" w:hAnsi="Times New Roman"/>
          <w:b w:val="0"/>
          <w:i w:val="0"/>
          <w:sz w:val="28"/>
        </w:rPr>
        <w:t xml:space="preserve"> являлась подготовка теоретических, аналитических и расчётных материалов, необходимых для написания выпускной квалификационной работы (ВКР) на тему «Реинжиниринг бизнес-процессов структурных подразделений Казанского федерального университета», а также апробация предложенных решений в условиях реального функционирования вуза.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Задачи практики: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1. Сформулировать цель, задачи, объект и предмет исследования ВКР.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2. Собрать исходные данные о деятельности структурных подразделений КФУ — Дирекции музеев, Управления кадров и Управления документооборота и контроля (УДК) — с использованием современных информационных технологий и электронных баз данных.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3. Провести анализ текущего состояния бизнес-процессов выбранных подразделений (AS IS) с применением нотаций IDEF0, BPMN и EPC, выявить виды потерь и узкие места.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4. Спроектировать целевые модели бизнес-процессов (TO BE) с применением инструментов бережливого производства и цифровых технологий.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5. Оценить экономическую эффективность предложенных решений (NPV, IRR, дисконтированный срок окупаемости).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6. Сформулировать выводы по итогам исследования и подготовить материалы для написания третьей главы ВКР.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Место прохождения практики</w:t>
      </w:r>
      <w:r>
        <w:rPr>
          <w:rFonts w:ascii="Times New Roman" w:hAnsi="Times New Roman"/>
          <w:b w:val="0"/>
          <w:i w:val="0"/>
          <w:sz w:val="28"/>
        </w:rPr>
        <w:t xml:space="preserve"> — ППО работников КФУ Общероссийского Профсоюза образования, расположенная по адресу осуществления деятельности КФУ (г. Казань, ул. Кремлёвская, 18). Профсоюзная организация выступила как площадка, обеспечивающая координацию доступа к материалам структурных подразделений университета и консультационную поддержку по вопросам кадровой политики и трудовых отношений.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Сроки практики:</w:t>
      </w:r>
      <w:r>
        <w:rPr>
          <w:rFonts w:ascii="Times New Roman" w:hAnsi="Times New Roman"/>
          <w:b w:val="0"/>
          <w:i w:val="0"/>
          <w:sz w:val="28"/>
        </w:rPr>
        <w:t xml:space="preserve"> 08.05.2026 — 22.05.2026 (продолжительность — 2 недели).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Отчёт подготовлен в соответствии со структурой, утверждённой программой преддипломной практики, и включает постановку цели и задач исследования, анализ предметной области, выводы по итогам проведённого исследования, заключение, список использованных источников и приложения.</w:t>
      </w:r>
    </w:p>
    <w:p>
      <w:r>
        <w:br w:type="page"/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РАЗДЕЛ 1. ПОСТАНОВКА ЦЕЛИ И ЗАДАЧ ИССЛЕДОВАНИЯ</w:t>
      </w:r>
    </w:p>
    <w:p>
      <w:pPr>
        <w:spacing w:line="360" w:lineRule="auto" w:before="0" w:after="0"/>
        <w:ind w:firstLine="0"/>
        <w:jc w:val="both"/>
      </w:pP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Тема ВКР:</w:t>
      </w:r>
      <w:r>
        <w:rPr>
          <w:rFonts w:ascii="Times New Roman" w:hAnsi="Times New Roman"/>
          <w:b w:val="0"/>
          <w:i w:val="0"/>
          <w:sz w:val="28"/>
        </w:rPr>
        <w:t xml:space="preserve"> «Реинжиниринг бизнес-процессов структурных подразделений Казанского федерального университета».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Актуальность исследования.</w:t>
      </w:r>
      <w:r>
        <w:rPr>
          <w:rFonts w:ascii="Times New Roman" w:hAnsi="Times New Roman"/>
          <w:b w:val="0"/>
          <w:i w:val="0"/>
          <w:sz w:val="28"/>
        </w:rPr>
        <w:t xml:space="preserve"> В условиях реализации государственной программы «Цифровая экономика Российской Федерации», стратегического направления цифровой трансформации науки и высшего образования (распоряжение Правительства РФ от 21.12.2021 № 3759-р), а также Стратегии научно-технологического развития Российской Федерации (Указ Президента РФ от 28.02.2024 № 145) перед российскими университетами поставлена задача масштабной модернизации управленческих процессов. Казанский федеральный университет, занимая лидирующие позиции среди федеральных университетов по ряду показателей мониторинга эффективности (Минобрнауки России), сталкивается с типичной для крупных вузов проблемой: вспомогательные и управленческие процессы характеризуются высокой долей рутинных операций, ручного бумажного документооборота и низкой производительностью труда квалифицированных сотрудников. Это снижает совокупную эффективность использования бюджетных средств и сдерживает реализацию стратегических задач программы «Приоритет-2030».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Цель ВКР</w:t>
      </w:r>
      <w:r>
        <w:rPr>
          <w:rFonts w:ascii="Times New Roman" w:hAnsi="Times New Roman"/>
          <w:b w:val="0"/>
          <w:i w:val="0"/>
          <w:sz w:val="28"/>
        </w:rPr>
        <w:t xml:space="preserve"> — разработать комплекс предложений по реинжинирингу бизнес-процессов структурных подразделений Казанского федерального университета на основе моделирования текущего (AS IS) и целевого (TO BE) состояния процессов, оценить экономическую эффективность предложенных решений.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Задачи ВКР: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1. Изучить теоретические основы реинжиниринга бизнес-процессов, методологии моделирования (IDEF0, BPMN, EPC) и инструменты бережливого производства.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2. Провести отраслевой анализ системы высшего образования Российской Федерации и определить место КФУ в системе мониторинга эффективности вузов.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3. Обосновать критерии отбора структурных подразделений КФУ для реинжиниринга.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4. Построить модели текущего состояния (AS IS) бизнес-процессов выбранных подразделений и выявить потери.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5. Спроектировать модели целевого состояния (TO BE) и предложить инструменты трансформации.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6. Рассчитать экономическую эффективность реинжиниринга (NPV, IRR, дисконтированный срок окупаемости, точка безубыточности, анализ чувствительности).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7. Сформулировать рекомендации по очерёдности и условиям внедрения предложенных решений.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Объект исследования</w:t>
      </w:r>
      <w:r>
        <w:rPr>
          <w:rFonts w:ascii="Times New Roman" w:hAnsi="Times New Roman"/>
          <w:b w:val="0"/>
          <w:i w:val="0"/>
          <w:sz w:val="28"/>
        </w:rPr>
        <w:t xml:space="preserve"> — бизнес-процессы вспомогательных и управленческих структурных подразделений Казанского федерального университета (Дирекция музеев КФУ, Управление кадров, Управление документооборота и контроля).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Предмет исследования</w:t>
      </w:r>
      <w:r>
        <w:rPr>
          <w:rFonts w:ascii="Times New Roman" w:hAnsi="Times New Roman"/>
          <w:b w:val="0"/>
          <w:i w:val="0"/>
          <w:sz w:val="28"/>
        </w:rPr>
        <w:t xml:space="preserve"> — методы и инструменты реинжиниринга бизнес-процессов, обеспечивающие сокращение времени цикла, доли операций, не добавляющих ценности, и трудоёмкости рутинных операций в условиях цифровой трансформации государственного вуза.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Методологическая база исследования.</w:t>
      </w:r>
      <w:r>
        <w:rPr>
          <w:rFonts w:ascii="Times New Roman" w:hAnsi="Times New Roman"/>
          <w:b w:val="0"/>
          <w:i w:val="0"/>
          <w:sz w:val="28"/>
        </w:rPr>
        <w:t xml:space="preserve"> В работе использованы методы системного анализа, моделирования бизнес-процессов в нотациях IDEF0, BPMN и EPC, инструменты бережливого производства (5С, классификация потерь по Тайити Оно, диаграмма Ишикавы, классификация операций ДЦ/НДБ/НДЦ), методы инвестиционного анализа (NPV, IRR, DPP, анализ чувствительности).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Информационная база исследования</w:t>
      </w:r>
      <w:r>
        <w:rPr>
          <w:rFonts w:ascii="Times New Roman" w:hAnsi="Times New Roman"/>
          <w:b w:val="0"/>
          <w:i w:val="0"/>
          <w:sz w:val="28"/>
        </w:rPr>
        <w:t xml:space="preserve"> включает нормативные правовые акты Российской Федерации в сфере цифровой трансформации образования и науки [1–6], монографии и учебные пособия по моделированию бизнес-процессов и управлению ими [7–16], статьи в периодических научных изданиях [17–46], материалы официального сайта КФУ [47], данные мониторинга эффективности деятельности образовательных организаций высшего образования [48] и статистические данные Минобрнауки России [49].</w:t>
      </w:r>
    </w:p>
    <w:p>
      <w:r>
        <w:br w:type="page"/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РАЗДЕЛ 2. АНАЛИЗ ПРЕДМЕТНОЙ ОБЛАСТИ ОБЪЕКТА ИССЛЕДОВАНИЯ</w:t>
      </w:r>
    </w:p>
    <w:p>
      <w:pPr>
        <w:spacing w:line="360" w:lineRule="auto" w:before="0" w:after="0"/>
        <w:ind w:firstLine="0"/>
        <w:jc w:val="both"/>
      </w:pP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 рамках преддипломной практики на базе ППО работников КФУ обучающийся осуществил сбор и анализ материалов, необходимых для написания третьей (практической) главы ВКР. Настоящий раздел отражает основные результаты этой работы.</w:t>
      </w:r>
    </w:p>
    <w:p>
      <w:pPr>
        <w:spacing w:line="360" w:lineRule="auto" w:before="0" w:after="0"/>
        <w:ind w:firstLine="0"/>
        <w:jc w:val="both"/>
      </w:pP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2.1. Анализ текущего состояния бизнес-процессов подразделений (AS IS)</w:t>
      </w:r>
    </w:p>
    <w:p>
      <w:pPr>
        <w:spacing w:line="360" w:lineRule="auto" w:before="0" w:after="0"/>
        <w:ind w:firstLine="0"/>
        <w:jc w:val="both"/>
      </w:pP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Обоснование выбора подразделений.</w:t>
      </w:r>
      <w:r>
        <w:rPr>
          <w:rFonts w:ascii="Times New Roman" w:hAnsi="Times New Roman"/>
          <w:b w:val="0"/>
          <w:i w:val="0"/>
          <w:sz w:val="28"/>
        </w:rPr>
        <w:t xml:space="preserve"> В качестве объектов реинжиниринга были выбраны три подразделения КФУ, отвечающие совокупности трёх методологических критериев: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1) принадлежность к классу вспомогательных и управленческих процессов (отсутствие ограничений ФГОС);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2) масштаб охвата университета (репрезентативность результатов);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3) соответствие приоритетам цифровой трансформации (государственная программа «Цифровая экономика РФ», проект «Приоритет-2030»).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Этим критериям соответствуют: Дирекция музеев КФУ (800 000 ед. хранения, 13 музеев), Управление кадров (6 615 чел. ППС × 2–3 цикла/год) и Управление документооборота и контроля (170 000+ ед. архивного хранения, 100 % корреспонденции). Подразделения относятся к разным функциональным блокам, используют различные информационные системы (КАМИС, «Парус», СЭД «Практика») и подведомственны разным проректорам, что обеспечивает взаимную независимость кейсов.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Дирекция музеев КФУ. Процесс «Регистрация и описание музейных экспонатов в КАМИС».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 качестве объекта анализа выбран Геологический музей им. А.А. Штукенберга. Анализ выполнен в нотациях IDEF0 (контекстная диаграмма А-0 и декомпозиция уровня А0 по функциональным блокам А1–А5), BPMN (хронометраж 12-операционного линейного процесса) и EPC (выделение проблемных зон).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Ключевые результаты: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– среднее время цикла — 45 минут на 1 экспонат;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– фактическая производительность — 9 экспонатов/день при требуемой 20 экспонатов/день (2 000 неучтённых экспонатов / 100 рабочих дней по срокам Минкультуры);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– доля операций, добавляющих ценность (ДЦ), — 16 %;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– доля операций, не добавляющих ценность (НДЦ), — 64 %;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– критическое узкое место — ожидание прогрузки документа в Государственном каталоге Музейного фонда (10 минут, 22 % цикла);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– нереализованный потенциал — единственный сотрудник с научной степенью выполняет операции, доступные лаборанту (90 % рабочего времени).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Корневые причины (диаграмма Ишикавы) сгруппированы по категориям «Персонал», «Оборудование», «Методы» и «Управление» и отражают системный характер проблемы (аналогичная ситуация — в Зоологическом музее и гербарии им. Э.А. Эверсмана).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Управление кадров. Процесс «Формирование графика отпусков ППС».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Анализ показал, что обработка одного заявления занимает от 55 до 135 минут чистого времени и от 6,25 часа до 7,25 рабочих дней с учётом ожидания подписи проректора. Расчётная трудоёмкость процесса — около 20 сотрудников.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Ключевые потери: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– ожидание подписи проректора — до 7 рабочих дней;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– транспортировка документов между зданиями — 80 минут/день, 40 часов/месяц;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– 100 % бумажный документооборот при масштабе 6 615 сотрудников ППС;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– доля НДЦ — около 75 %;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– отсутствие системы уведомлений о готовности документов.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Управление документооборота и контроля. Процесс «Исполнение запросов граждан в архиве».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Среднее время выдачи архивной справки — 22 минуты, из которых 15 минут (68 % цикла) приходится на физический поиск дела в архивохранилище. Доля НДЦ — 68 %. Уровень оцифровки фонда: 12 % (за 2014–2025 гг.) и 0 % (за 1960–2014 гг.) при объёме фонда более 170 000 единиц хранения.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Дополнительно проанализированы три рутинных процесса Отдела документационного обеспечения управления: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– регистрация входящей корреспонденции (237 сек/документ, из них 22 % — лишние движения);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– обработка исходящей корреспонденции (1 814 сек/письмо ≈ 30 мин);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– согласование организационно-распорядительных документов — ОРД (51 235 сек ≈ 14,2 часа на 1 документ).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Сводный вывод по разделу 2.1.</w:t>
      </w:r>
      <w:r>
        <w:rPr>
          <w:rFonts w:ascii="Times New Roman" w:hAnsi="Times New Roman"/>
          <w:b w:val="0"/>
          <w:i w:val="0"/>
          <w:sz w:val="28"/>
        </w:rPr>
        <w:t xml:space="preserve"> Во всех трёх подразделениях доля операций, не создающих ценности, составляет 64–75 % общего времени цикла. Ключевые виды потерь — ожидание и транспортировка — обусловлены доминированием бумажного документооборота и территориальной разобщённостью подразделений. Общая корневая причина — отсутствие цифровизации рутинных операций при наличии технической возможности их автоматизации.</w:t>
      </w:r>
    </w:p>
    <w:p>
      <w:pPr>
        <w:spacing w:line="360" w:lineRule="auto" w:before="0" w:after="0"/>
        <w:ind w:firstLine="0"/>
        <w:jc w:val="both"/>
      </w:pP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2.2. Проектирование целевых процессов (TO BE)</w:t>
      </w:r>
    </w:p>
    <w:p>
      <w:pPr>
        <w:spacing w:line="360" w:lineRule="auto" w:before="0" w:after="0"/>
        <w:ind w:firstLine="0"/>
        <w:jc w:val="both"/>
      </w:pP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 основе выявленных потерь спроектированы целевые модели бизнес-процессов для каждого подразделения.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Дирекция музеев — TO BE.</w:t>
      </w:r>
      <w:r>
        <w:rPr>
          <w:rFonts w:ascii="Times New Roman" w:hAnsi="Times New Roman"/>
          <w:b w:val="0"/>
          <w:i w:val="0"/>
          <w:sz w:val="28"/>
        </w:rPr>
        <w:t xml:space="preserve"> Введение второго участника (лаборант), создание стационарной фотозоны, организация рабочего места по методике 5С, стандартизация описаний по типовым шаблонам категорий экспонатов, перевод выгрузки в Государственный каталог в асинхронный фоновый режим. Результат: время цикла снижено с 45 до 18 мин (−60 %), производительность выросла с 9 до 30 экспонатов/день (×3,3), доля НДЦ снижена с 64 % до 11 %.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Управление кадров — TO BE.</w:t>
      </w:r>
      <w:r>
        <w:rPr>
          <w:rFonts w:ascii="Times New Roman" w:hAnsi="Times New Roman"/>
          <w:b w:val="0"/>
          <w:i w:val="0"/>
          <w:sz w:val="28"/>
        </w:rPr>
        <w:t xml:space="preserve"> Внедрение платформы Битрикс24 «Предприятие»: электронное согласование графика отпусков с электронной подписью проректора, самообслуживание сотрудников ППС через личный кабинет, автоматическая валидация конфликтов расписаний, формирование единого приказа на подразделение вместо индивидуальных заявлений, автоматические уведомления. Результат: время обработки одного заявления снижено с 135 до 20 минут (−85 %), время ожидания — с 7 дней до 1 рабочего дня (−86 %), расчётная трудоёмкость — с 20 до 3 сотрудников.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УДК — TO BE.</w:t>
      </w:r>
      <w:r>
        <w:rPr>
          <w:rFonts w:ascii="Times New Roman" w:hAnsi="Times New Roman"/>
          <w:b w:val="0"/>
          <w:i w:val="0"/>
          <w:sz w:val="28"/>
        </w:rPr>
        <w:t xml:space="preserve"> Оцифровка архивного фонда (пилотный проект — 30 000 единиц за 27 дней с привлечением студентов-практикантов), внедрение оптического распознавания символов (точность ≥ 98 %), создание электронного каталога с полнотекстовым поиском, организация резервного копирования на SSD. Дополнительно: установка второго монитора для регистрации входящих писем; внедрение QR-кодов для исходящей корреспонденции; параллельное согласование ОРД. Результат: время выдачи справки снижено с 22 до 14 минут (−36 %), время поиска документа — с 15 до 2 минут (−87 %), доля НДЦ — с 68 % до 15 %.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Связь целевых изменений с показателями мониторинга КФУ.</w:t>
      </w:r>
      <w:r>
        <w:rPr>
          <w:rFonts w:ascii="Times New Roman" w:hAnsi="Times New Roman"/>
          <w:b w:val="0"/>
          <w:i w:val="0"/>
          <w:sz w:val="28"/>
        </w:rPr>
        <w:t xml:space="preserve"> Реинжиниринг создаёт условия для укрепления конкурентных позиций КФУ: высвобождение 17 сотрудников от рутинных операций кадрового делопроизводства поддерживает показатель кадрового потенциала (4,50 НПР со степенью на 100 студентов — 1-е место среди федеральных университетов); ускорение каталогизации в музее в 3,3 раза обеспечивает выполнение федеральных обязательств перед Минкультуры; цифровизация архива УДК повышает операционную эффективность всего университета.</w:t>
      </w:r>
    </w:p>
    <w:p>
      <w:pPr>
        <w:spacing w:line="360" w:lineRule="auto" w:before="0" w:after="0"/>
        <w:ind w:firstLine="0"/>
        <w:jc w:val="both"/>
      </w:pP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2.3. Оценка экономической эффективности реинжиниринга</w:t>
      </w:r>
    </w:p>
    <w:p>
      <w:pPr>
        <w:spacing w:line="360" w:lineRule="auto" w:before="0" w:after="0"/>
        <w:ind w:firstLine="0"/>
        <w:jc w:val="both"/>
      </w:pP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Структура инвестиционных затрат.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Подразделение</w:t>
            </w:r>
          </w:p>
        </w:tc>
        <w:tc>
          <w:tcPr>
            <w:tcW w:type="dxa" w:w="240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Единоразовые затраты, руб.</w:t>
            </w:r>
          </w:p>
        </w:tc>
        <w:tc>
          <w:tcPr>
            <w:tcW w:type="dxa" w:w="240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Ежегодные затраты, руб.</w:t>
            </w:r>
          </w:p>
        </w:tc>
        <w:tc>
          <w:tcPr>
            <w:tcW w:type="dxa" w:w="240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Затраты 1-го года, руб.</w:t>
            </w:r>
          </w:p>
        </w:tc>
      </w:tr>
      <w:tr>
        <w:tc>
          <w:tcPr>
            <w:tcW w:type="dxa" w:w="2409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Дирекция музеев</w:t>
            </w:r>
          </w:p>
        </w:tc>
        <w:tc>
          <w:tcPr>
            <w:tcW w:type="dxa" w:w="240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65 000</w:t>
            </w:r>
          </w:p>
        </w:tc>
        <w:tc>
          <w:tcPr>
            <w:tcW w:type="dxa" w:w="240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390 000</w:t>
            </w:r>
          </w:p>
        </w:tc>
        <w:tc>
          <w:tcPr>
            <w:tcW w:type="dxa" w:w="240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455 000</w:t>
            </w:r>
          </w:p>
        </w:tc>
      </w:tr>
      <w:tr>
        <w:tc>
          <w:tcPr>
            <w:tcW w:type="dxa" w:w="2409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Управление кадров</w:t>
            </w:r>
          </w:p>
        </w:tc>
        <w:tc>
          <w:tcPr>
            <w:tcW w:type="dxa" w:w="240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450 000</w:t>
            </w:r>
          </w:p>
        </w:tc>
        <w:tc>
          <w:tcPr>
            <w:tcW w:type="dxa" w:w="240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4 788 000</w:t>
            </w:r>
          </w:p>
        </w:tc>
        <w:tc>
          <w:tcPr>
            <w:tcW w:type="dxa" w:w="240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5 238 000</w:t>
            </w:r>
          </w:p>
        </w:tc>
      </w:tr>
      <w:tr>
        <w:tc>
          <w:tcPr>
            <w:tcW w:type="dxa" w:w="2409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УДК</w:t>
            </w:r>
          </w:p>
        </w:tc>
        <w:tc>
          <w:tcPr>
            <w:tcW w:type="dxa" w:w="240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277 500</w:t>
            </w:r>
          </w:p>
        </w:tc>
        <w:tc>
          <w:tcPr>
            <w:tcW w:type="dxa" w:w="240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180 000</w:t>
            </w:r>
          </w:p>
        </w:tc>
        <w:tc>
          <w:tcPr>
            <w:tcW w:type="dxa" w:w="240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457 500</w:t>
            </w:r>
          </w:p>
        </w:tc>
      </w:tr>
      <w:tr>
        <w:tc>
          <w:tcPr>
            <w:tcW w:type="dxa" w:w="2409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sz w:val="24"/>
              </w:rPr>
              <w:t>ИТОГО</w:t>
            </w:r>
          </w:p>
        </w:tc>
        <w:tc>
          <w:tcPr>
            <w:tcW w:type="dxa" w:w="240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792 500</w:t>
            </w:r>
          </w:p>
        </w:tc>
        <w:tc>
          <w:tcPr>
            <w:tcW w:type="dxa" w:w="240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5 358 000</w:t>
            </w:r>
          </w:p>
        </w:tc>
        <w:tc>
          <w:tcPr>
            <w:tcW w:type="dxa" w:w="240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6 150 500</w:t>
            </w:r>
          </w:p>
        </w:tc>
      </w:tr>
    </w:tbl>
    <w:p>
      <w:pPr>
        <w:spacing w:line="360" w:lineRule="auto" w:before="0" w:after="0"/>
        <w:ind w:firstLine="0"/>
        <w:jc w:val="both"/>
      </w:pP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Экономический эффект.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Подразделение</w:t>
            </w:r>
          </w:p>
        </w:tc>
        <w:tc>
          <w:tcPr>
            <w:tcW w:type="dxa" w:w="240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Ежегодная экономия, руб.</w:t>
            </w:r>
          </w:p>
        </w:tc>
        <w:tc>
          <w:tcPr>
            <w:tcW w:type="dxa" w:w="240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Ежегодные затраты на поддержание, руб.</w:t>
            </w:r>
          </w:p>
        </w:tc>
        <w:tc>
          <w:tcPr>
            <w:tcW w:type="dxa" w:w="240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Чистый ежегодный эффект, руб.</w:t>
            </w:r>
          </w:p>
        </w:tc>
      </w:tr>
      <w:tr>
        <w:tc>
          <w:tcPr>
            <w:tcW w:type="dxa" w:w="2409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Дирекция музеев</w:t>
            </w:r>
          </w:p>
        </w:tc>
        <w:tc>
          <w:tcPr>
            <w:tcW w:type="dxa" w:w="240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439 560</w:t>
            </w:r>
          </w:p>
        </w:tc>
        <w:tc>
          <w:tcPr>
            <w:tcW w:type="dxa" w:w="240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390 000</w:t>
            </w:r>
          </w:p>
        </w:tc>
        <w:tc>
          <w:tcPr>
            <w:tcW w:type="dxa" w:w="240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49 560</w:t>
            </w:r>
          </w:p>
        </w:tc>
      </w:tr>
      <w:tr>
        <w:tc>
          <w:tcPr>
            <w:tcW w:type="dxa" w:w="2409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Управление кадров</w:t>
            </w:r>
          </w:p>
        </w:tc>
        <w:tc>
          <w:tcPr>
            <w:tcW w:type="dxa" w:w="240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5 820 000</w:t>
            </w:r>
          </w:p>
        </w:tc>
        <w:tc>
          <w:tcPr>
            <w:tcW w:type="dxa" w:w="240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4 788 000</w:t>
            </w:r>
          </w:p>
        </w:tc>
        <w:tc>
          <w:tcPr>
            <w:tcW w:type="dxa" w:w="240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1 032 000</w:t>
            </w:r>
          </w:p>
        </w:tc>
      </w:tr>
      <w:tr>
        <w:tc>
          <w:tcPr>
            <w:tcW w:type="dxa" w:w="2409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УДК</w:t>
            </w:r>
          </w:p>
        </w:tc>
        <w:tc>
          <w:tcPr>
            <w:tcW w:type="dxa" w:w="240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808 116</w:t>
            </w:r>
          </w:p>
        </w:tc>
        <w:tc>
          <w:tcPr>
            <w:tcW w:type="dxa" w:w="240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180 000</w:t>
            </w:r>
          </w:p>
        </w:tc>
        <w:tc>
          <w:tcPr>
            <w:tcW w:type="dxa" w:w="240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628 116</w:t>
            </w:r>
          </w:p>
        </w:tc>
      </w:tr>
      <w:tr>
        <w:tc>
          <w:tcPr>
            <w:tcW w:type="dxa" w:w="2409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sz w:val="24"/>
              </w:rPr>
              <w:t>ИТОГО</w:t>
            </w:r>
          </w:p>
        </w:tc>
        <w:tc>
          <w:tcPr>
            <w:tcW w:type="dxa" w:w="240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7 067 676</w:t>
            </w:r>
          </w:p>
        </w:tc>
        <w:tc>
          <w:tcPr>
            <w:tcW w:type="dxa" w:w="240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5 358 000</w:t>
            </w:r>
          </w:p>
        </w:tc>
        <w:tc>
          <w:tcPr>
            <w:tcW w:type="dxa" w:w="240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1 709 676</w:t>
            </w:r>
          </w:p>
        </w:tc>
      </w:tr>
    </w:tbl>
    <w:p>
      <w:pPr>
        <w:spacing w:line="360" w:lineRule="auto" w:before="0" w:after="0"/>
        <w:ind w:firstLine="0"/>
        <w:jc w:val="both"/>
      </w:pP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Показатели инвестиционной эффективности.</w:t>
      </w:r>
      <w:r>
        <w:rPr>
          <w:rFonts w:ascii="Times New Roman" w:hAnsi="Times New Roman"/>
          <w:b w:val="0"/>
          <w:i w:val="0"/>
          <w:sz w:val="28"/>
        </w:rPr>
        <w:t xml:space="preserve"> Ставка дисконтирования определена кумулятивным методом (ключевая ставка ЦБ РФ 21 % + премия за риск 2 %) и составляет 23 %. Горизонт планирования — 5 лет.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Показатель</w:t>
            </w:r>
          </w:p>
        </w:tc>
        <w:tc>
          <w:tcPr>
            <w:tcW w:type="dxa" w:w="481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4819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Первоначальные инвестиции (I₀)</w:t>
            </w:r>
          </w:p>
        </w:tc>
        <w:tc>
          <w:tcPr>
            <w:tcW w:type="dxa" w:w="481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792 500 руб.</w:t>
            </w:r>
          </w:p>
        </w:tc>
      </w:tr>
      <w:tr>
        <w:tc>
          <w:tcPr>
            <w:tcW w:type="dxa" w:w="4819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Чистый ежегодный денежный поток (CF)</w:t>
            </w:r>
          </w:p>
        </w:tc>
        <w:tc>
          <w:tcPr>
            <w:tcW w:type="dxa" w:w="481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1 709 676 руб.</w:t>
            </w:r>
          </w:p>
        </w:tc>
      </w:tr>
      <w:tr>
        <w:tc>
          <w:tcPr>
            <w:tcW w:type="dxa" w:w="4819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sz w:val="24"/>
              </w:rPr>
              <w:t>NPV (5 лет, r = 23 %)</w:t>
            </w:r>
          </w:p>
        </w:tc>
        <w:tc>
          <w:tcPr>
            <w:tcW w:type="dxa" w:w="481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4 000 155 руб.</w:t>
            </w:r>
          </w:p>
        </w:tc>
      </w:tr>
      <w:tr>
        <w:tc>
          <w:tcPr>
            <w:tcW w:type="dxa" w:w="4819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sz w:val="24"/>
              </w:rPr>
              <w:t>IRR</w:t>
            </w:r>
          </w:p>
        </w:tc>
        <w:tc>
          <w:tcPr>
            <w:tcW w:type="dxa" w:w="481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≈ 215 %</w:t>
            </w:r>
          </w:p>
        </w:tc>
      </w:tr>
      <w:tr>
        <w:tc>
          <w:tcPr>
            <w:tcW w:type="dxa" w:w="4819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sz w:val="24"/>
              </w:rPr>
              <w:t>Дисконтированный срок окупаемости (DPP)</w:t>
            </w:r>
          </w:p>
        </w:tc>
        <w:tc>
          <w:tcPr>
            <w:tcW w:type="dxa" w:w="481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≈ 7 месяцев</w:t>
            </w:r>
          </w:p>
        </w:tc>
      </w:tr>
    </w:tbl>
    <w:p>
      <w:pPr>
        <w:spacing w:line="360" w:lineRule="auto" w:before="0" w:after="0"/>
        <w:ind w:firstLine="0"/>
        <w:jc w:val="both"/>
      </w:pP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Анализ чувствительности показал, что проект сохраняет положительный NPV даже в пессимистическом сценарии (снижение экономии на 30 % при росте ставки дисконтирования до 30 %). Критическое значение CF составляет 282 768 руб./год — 16,5 % от планового, то есть проект остаётся рентабельным даже при сокращении операционных объёмов на 83 %. Запас прочности по подразделениям: Дирекция музеев — 58 %, Управление кадров — 47 %, УДК — 78 %.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Рекомендуемая очерёдность внедрения</w:t>
      </w:r>
      <w:r>
        <w:rPr>
          <w:rFonts w:ascii="Times New Roman" w:hAnsi="Times New Roman"/>
          <w:b w:val="0"/>
          <w:i w:val="0"/>
          <w:sz w:val="28"/>
        </w:rPr>
        <w:t xml:space="preserve"> (по критерию сочетания абсолютного эффекта, скорости окупаемости и стратегической значимости):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1. Управление кадров (внедрение Битрикс24) — наивысший приоритет: чистый эффект 1 032 000 руб./год, DPP 6,4 мес.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2. УДК (оцифровка архива и сопутствующие меры) — высокий приоритет: чистый эффект 628 116 руб./год, DPP 6,5 мес., запас прочности 78 %.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3. Дирекция музеев (5С + лаборант) — средний приоритет: минимальные инвестиции (65 000 руб.), значимый качественный эффект.</w:t>
      </w:r>
    </w:p>
    <w:p>
      <w:r>
        <w:br w:type="page"/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РАЗДЕЛ 3. ВЫВОДЫ ПО ИТОГАМ ПРОВЕДЁННОГО ИССЛЕДОВАНИЯ</w:t>
      </w:r>
    </w:p>
    <w:p>
      <w:pPr>
        <w:spacing w:line="360" w:lineRule="auto" w:before="0" w:after="0"/>
        <w:ind w:firstLine="0"/>
        <w:jc w:val="both"/>
      </w:pP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По результатам преддипломной практики и проведённого исследования сформулированы следующие выводы: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1. </w:t>
      </w:r>
      <w:r>
        <w:rPr>
          <w:rFonts w:ascii="Times New Roman" w:hAnsi="Times New Roman"/>
          <w:b/>
          <w:i w:val="0"/>
          <w:sz w:val="28"/>
        </w:rPr>
        <w:t>Методологический выбор подтверждён.</w:t>
      </w:r>
      <w:r>
        <w:rPr>
          <w:rFonts w:ascii="Times New Roman" w:hAnsi="Times New Roman"/>
          <w:b w:val="0"/>
          <w:i w:val="0"/>
          <w:sz w:val="28"/>
        </w:rPr>
        <w:t xml:space="preserve"> Применение нотаций IDEF0, BPMN и EPC в комплексе обеспечило целостный анализ процессов на трёх уровнях: контекст и декомпозиция (IDEF0), детальный поток операций с количественными характеристиками (BPMN) и выделение проблемных зон (EPC). Такой подход воспроизводим и применим к другим подразделениям вуза.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2. </w:t>
      </w:r>
      <w:r>
        <w:rPr>
          <w:rFonts w:ascii="Times New Roman" w:hAnsi="Times New Roman"/>
          <w:b/>
          <w:i w:val="0"/>
          <w:sz w:val="28"/>
        </w:rPr>
        <w:t>Системная природа проблем подтверждена.</w:t>
      </w:r>
      <w:r>
        <w:rPr>
          <w:rFonts w:ascii="Times New Roman" w:hAnsi="Times New Roman"/>
          <w:b w:val="0"/>
          <w:i w:val="0"/>
          <w:sz w:val="28"/>
        </w:rPr>
        <w:t xml:space="preserve"> Во всех трёх подразделениях доминирующим типом потерь является ожидание и излишняя транспортировка, обусловленные доминированием бумажного документооборота. Доля операций, не добавляющих ценности, составляет 64–75 %, что свидетельствует о значительном потенциале оптимизации, типичном для государственных вузов в условиях недостаточной цифровизации управленческих процессов.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3. </w:t>
      </w:r>
      <w:r>
        <w:rPr>
          <w:rFonts w:ascii="Times New Roman" w:hAnsi="Times New Roman"/>
          <w:b/>
          <w:i w:val="0"/>
          <w:sz w:val="28"/>
        </w:rPr>
        <w:t>Целевые решения соответствуют возможностям государственного вуза.</w:t>
      </w:r>
      <w:r>
        <w:rPr>
          <w:rFonts w:ascii="Times New Roman" w:hAnsi="Times New Roman"/>
          <w:b w:val="0"/>
          <w:i w:val="0"/>
          <w:sz w:val="28"/>
        </w:rPr>
        <w:t xml:space="preserve"> Предложенные инструменты (5С, стандартизация, Битрикс24 как облачное решение, оптическое распознавание символов и оцифровка с привлечением студентов) не требуют значительных капитальных вложений в собственную инфраструктуру и совместимы с регламентами, действующими в КФУ.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4. </w:t>
      </w:r>
      <w:r>
        <w:rPr>
          <w:rFonts w:ascii="Times New Roman" w:hAnsi="Times New Roman"/>
          <w:b/>
          <w:i w:val="0"/>
          <w:sz w:val="28"/>
        </w:rPr>
        <w:t>Экономическая целесообразность доказана.</w:t>
      </w:r>
      <w:r>
        <w:rPr>
          <w:rFonts w:ascii="Times New Roman" w:hAnsi="Times New Roman"/>
          <w:b w:val="0"/>
          <w:i w:val="0"/>
          <w:sz w:val="28"/>
        </w:rPr>
        <w:t xml:space="preserve"> Совокупный NPV проекта составляет 4 000 155 руб. при ставке дисконтирования 23 %, IRR ≈ 215 %, дисконтированный срок окупаемости — около 7 месяцев. Проект сохраняет рентабельность даже при сокращении ожидаемого эффекта на 83 %.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5. </w:t>
      </w:r>
      <w:r>
        <w:rPr>
          <w:rFonts w:ascii="Times New Roman" w:hAnsi="Times New Roman"/>
          <w:b/>
          <w:i w:val="0"/>
          <w:sz w:val="28"/>
        </w:rPr>
        <w:t>Достигнут стратегический эффект.</w:t>
      </w:r>
      <w:r>
        <w:rPr>
          <w:rFonts w:ascii="Times New Roman" w:hAnsi="Times New Roman"/>
          <w:b w:val="0"/>
          <w:i w:val="0"/>
          <w:sz w:val="28"/>
        </w:rPr>
        <w:t xml:space="preserve"> Реинжиниринг вспомогательных и управленческих процессов опосредованно поддерживает показатели мониторинга эффективности вузов: кадровый потенциал, инфраструктура и цифровизация, научно-образовательная среда, финансовая устойчивость. Это согласуется с целевыми ориентирами программы «Приоритет-2030» и распоряжения Правительства РФ от 21.12.2021 № 3759-р.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6. </w:t>
      </w:r>
      <w:r>
        <w:rPr>
          <w:rFonts w:ascii="Times New Roman" w:hAnsi="Times New Roman"/>
          <w:b/>
          <w:i w:val="0"/>
          <w:sz w:val="28"/>
        </w:rPr>
        <w:t>Подтверждена готовность материалов для ВКР.</w:t>
      </w:r>
      <w:r>
        <w:rPr>
          <w:rFonts w:ascii="Times New Roman" w:hAnsi="Times New Roman"/>
          <w:b w:val="0"/>
          <w:i w:val="0"/>
          <w:sz w:val="28"/>
        </w:rPr>
        <w:t xml:space="preserve"> Объём собранных и проанализированных данных, включая 18 таблиц и 9 диаграмм AS IS/TO BE по трём подразделениям, является достаточным для подготовки практической (третьей) главы выпускной квалификационной работы и формулирования итоговых рекомендаций.</w:t>
      </w:r>
    </w:p>
    <w:p>
      <w:r>
        <w:br w:type="page"/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ЗАКЛЮЧЕНИЕ</w:t>
      </w:r>
    </w:p>
    <w:p>
      <w:pPr>
        <w:spacing w:line="360" w:lineRule="auto" w:before="0" w:after="0"/>
        <w:ind w:firstLine="0"/>
        <w:jc w:val="both"/>
      </w:pP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 период с 08 мая по 22 мая 2026 года на базе Первичной профсоюзной организации работников КФУ Общероссийского Профсоюза образования была пройдена преддипломная практика по теме ВКР «Реинжиниринг бизнес-процессов структурных подразделений Казанского федерального университета».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В ходе практики выполнены все поставленные задачи: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– сформулированы цель, задачи, объект и предмет исследования;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– собраны исходные данные о деятельности Дирекции музеев КФУ, Управления кадров и Управления документооборота и контроля;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– построены модели текущего состояния (AS IS) бизнес-процессов в нотациях IDEF0, BPMN и EPC; выявлены потери (доля НДЦ — 64–75 %) и узкие места (ожидание, транспортировка, отсутствие шаблонов и оцифровки);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– спроектированы целевые модели (TO BE) с применением 5С, стандартизации, электронного документооборота на платформе Битрикс24 и оцифровки архивов с использованием оптического распознавания символов;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– проведена оценка экономической эффективности: NPV = 4 000 155 руб., IRR ≈ 215 %, DPP ≈ 7 месяцев, совокупный чистый ежегодный эффект — 1 709 676 руб.;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– сформулированы выводы и рекомендации по очерёдности внедрения предложенных решений.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Полученные результаты</w:t>
      </w:r>
      <w:r>
        <w:rPr>
          <w:rFonts w:ascii="Times New Roman" w:hAnsi="Times New Roman"/>
          <w:b w:val="0"/>
          <w:i w:val="0"/>
          <w:sz w:val="28"/>
        </w:rPr>
        <w:t xml:space="preserve"> обладают практической значимостью для Казанского федерального университета: они формируют обоснованную дорожную карту цифровой трансформации трёх управленческих и вспомогательных подразделений, демонстрируют положительный экономический эффект и согласуются с приоритетами государственной политики в сфере цифровой трансформации науки и высшего образования.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Подготовленные материалы</w:t>
      </w:r>
      <w:r>
        <w:rPr>
          <w:rFonts w:ascii="Times New Roman" w:hAnsi="Times New Roman"/>
          <w:b w:val="0"/>
          <w:i w:val="0"/>
          <w:sz w:val="28"/>
        </w:rPr>
        <w:t xml:space="preserve"> будут использованы при написании третьей главы выпускной квалификационной работы. В дальнейшем планируется уточнение отдельных расчётов по результатам обратной связи от руководителя ВКР и согласование рекомендаций с представителями структурных подразделений КФУ.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 ходе практики также были закреплены навыки моделирования бизнес-процессов, работы с нормативно-правовой базой, анализа отраслевых данных, построения инвестиционных моделей и подготовки аналитических материалов в соответствии с академическими требованиями.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Программа преддипломной практики выполнена в полном объёме, поставленные цели достигнуты.</w:t>
      </w:r>
    </w:p>
    <w:p>
      <w:r>
        <w:br w:type="page"/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СПИСОК ИСПОЛЬЗОВАННЫХ ИСТОЧНИКОВ</w:t>
      </w:r>
    </w:p>
    <w:p>
      <w:pPr>
        <w:spacing w:line="360" w:lineRule="auto" w:before="0" w:after="0"/>
        <w:ind w:firstLine="0"/>
        <w:jc w:val="both"/>
      </w:pPr>
    </w:p>
    <w:p>
      <w:pPr>
        <w:spacing w:line="360" w:lineRule="auto" w:before="0" w:after="0"/>
        <w:ind w:firstLine="0"/>
        <w:jc w:val="both"/>
      </w:pP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Нормативные правовые акты</w:t>
      </w:r>
    </w:p>
    <w:p>
      <w:pPr>
        <w:spacing w:line="360" w:lineRule="auto" w:before="0" w:after="0"/>
        <w:ind w:firstLine="0"/>
        <w:jc w:val="both"/>
      </w:pP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1. Об образовании в Российской Федерации: [федер. закон от 29 декабря 2012 г. № 273-ФЗ (ред. от 04.08.2023)] [Электронный ресурс] // Справочно-правовая система «КонсультантПлюс». — URL: http://www.consultant.ru/document/cons_doc_LAW_140174/ (дата обращения: 15.05.2026).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2. О Стратегии развития информационного общества в Российской Федерации на 2017–2030 годы: [указ Президента РФ от 09 мая 2017 г. № 203] [Электронный ресурс] // Справочно-правовая система «КонсультантПлюс». — URL: http://www.consultant.ru/document/cons_doc_LAW_216363/ (дата обращения: 15.05.2026).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3. О Стратегии научно-технологического развития Российской Федерации: [указ Президента РФ от 28 февраля 2024 г. № 145] [Электронный ресурс] // Справочно-правовая система «КонсультантПлюс». — URL: http://www.consultant.ru/document/cons_doc_LAW_473541/ (дата обращения: 15.05.2026).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4. Об утверждении стратегического направления в области цифровой трансформации образования, относящейся к сфере деятельности Министерства просвещения Российской Федерации: [распоряжение Правительства РФ от 02 декабря 2021 г. № 3427-р] [Электронный ресурс] // Справочно-правовая система «КонсультантПлюс». — URL: http://www.consultant.ru/document/cons_doc_LAW_390290/ (дата обращения: 15.05.2026).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5. О стратегическом направлении в области цифровой трансформации науки и высшего образования: [распоряжение Правительства РФ от 21 декабря 2021 г. № 3759-р] [Электронный ресурс] // Справочно-правовая система «КонсультантПлюс». — URL: http://www.consultant.ru/document/cons_doc_LAW_402400/ (дата обращения: 15.05.2026).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6. О проведении эксперимента по внедрению цифровой образовательной среды: [постановление Правительства РФ от 13 июля 2022 г. № 1241 (ред. от 27.04.2024)] [Электронный ресурс] // Справочно-правовая система «КонсультантПлюс». — URL: http://www.consultant.ru/document/cons_doc_LAW_381485/ (дата обращения: 15.05.2026).</w:t>
      </w:r>
    </w:p>
    <w:p>
      <w:pPr>
        <w:spacing w:line="360" w:lineRule="auto" w:before="0" w:after="0"/>
        <w:ind w:firstLine="0"/>
        <w:jc w:val="both"/>
      </w:pP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Монографии, учебники, учебные пособия</w:t>
      </w:r>
    </w:p>
    <w:p>
      <w:pPr>
        <w:spacing w:line="360" w:lineRule="auto" w:before="0" w:after="0"/>
        <w:ind w:firstLine="0"/>
        <w:jc w:val="both"/>
      </w:pP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7. Грекул, В.И. Проектирование информационных систем: учебник и практикум для вузов / В.И. Грекул, Н.Л. Коровкина, Г.А. Левочкина. — 2-е изд., перераб. и доп. — Москва: Издательство Юрайт, 2026. — 404 с. — Текст: электронный. — URL: https://urait.ru/bcode/590554 (дата обращения: 15.05.2026).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8. Громов, А.И. Управление бизнес-процессами: современные методы: монография / А.И. Громов, А. Фляйшман, В. Шмидт; под ред. А.И. Громова. — Москва: Издательство Юрайт, 2026. — 367 с. — Текст: электронный. — URL: https://urait.ru/bcode/583152 (дата обращения: 15.05.2026).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9. Долганова, О.И. Моделирование бизнес-процессов: учебник и практикум для вузов / О.И. Долганова, Е.В. Виноградова, А.М. Лобанова; под ред. О.И. Долгановой. — 3-е изд., перераб. и доп. — Москва: Издательство Юрайт, 2026. — 245 с. — Текст: электронный. — URL: https://urait.ru/bcode/583398 (дата обращения: 15.05.2026).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10. Каменнова, М.С. Моделирование бизнес-процессов: учебник и практикум для вузов / М.С. Каменнова, В.В. Крохин, И.В. Машков. — Москва: Издательство Юрайт, 2025. — 534 с. — Текст: электронный. — URL: https://urait.ru/bcode/568546 (дата обращения: 15.05.2026).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11. Коротков, Э.М. Менеджмент: учебник для вузов / Э.М. Коротков. — 3-е изд., перераб. и доп. — Москва: Издательство Юрайт, 2026. — 543 с. — Текст: электронный. — URL: https://urait.ru/bcode/598393 (дата обращения: 15.05.2026).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12. Плахотникова, М.А. Информационные технологии в менеджменте: учебник и практикум для вузов / М.А. Плахотникова, Ю.В. Вертакова. — 2-е изд., перераб. и доп. — Москва: Издательство Юрайт, 2026. — 326 с. — Текст: электронный. — URL: https://urait.ru/bcode/582677 (дата обращения: 15.05.2026).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13. Портер, М. Конкурентная стратегия: Методика анализа отраслей и конкурентов / М. Портер. — 6-е изд. — Москва: Альпина Паблишер, 2026. — 456 с. — Текст: электронный. — URL: https://znanium.ru/catalog/product/2234269 (дата обращения: 15.05.2026).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14. Прикладные цифровые технологии и системы XXI века: экономика, менеджмент, управление персоналом, информационная безопасность, право: материалы III Региональной научно-практической конференции 15 декабря 2023 года. — Владимир: Владимирский филиал РАНХиГС, 2024. — 347 с. — Текст: электронный. — URL: https://znanium.ru/catalog/product/2229561 (дата обращения: 15.05.2026).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15. Советов, Б.Я. Моделирование систем: учебник для вузов / Б.Я. Советов, С.А. Яковлев. — 7-е изд. — Москва: Издательство Юрайт, 2026. — 343 с. — Текст: электронный. — URL: https://urait.ru/bcode/582696 (дата обращения: 15.05.2026).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16. Финансовые и денежно-кредитные методы регулирования экономики. Теория и практика: учебник для вузов / под ред. М.А. Абрамовой, Л.И. Гончаренко, Е.В. Маркиной. — 3-е изд., испр. и доп. — Москва: Издательство Юрайт, 2025. — 508 с. — Текст: электронный. — URL: https://urait.ru/bcode/560369 (дата обращения: 15.05.2026).</w:t>
      </w:r>
    </w:p>
    <w:p>
      <w:pPr>
        <w:spacing w:line="360" w:lineRule="auto" w:before="0" w:after="0"/>
        <w:ind w:firstLine="0"/>
        <w:jc w:val="both"/>
      </w:pP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Статьи в периодических изданиях и сборниках</w:t>
      </w:r>
    </w:p>
    <w:p>
      <w:pPr>
        <w:spacing w:line="360" w:lineRule="auto" w:before="0" w:after="0"/>
        <w:ind w:firstLine="0"/>
        <w:jc w:val="both"/>
      </w:pP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17. Ануфриева, А.П. Применение методов имитационного моделирования для анализа и оптимизации бизнес-процессов организации [Текст: электронный] / А.П. Ануфриева // Политематический сетевой электронный научный журнал Кубанского государственного аграрного университета. — 2025. — URL: https://cyberleninka.ru/article/n/primenenie-metodov-imitatsionnogo-modelirovaniya-dlya-analiza-i-optimizatsii-biznes-protsessov-organizatsii (дата обращения: 12.05.2026).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18. Гаврилюк, Е.С. Анализ направлений реинжиниринга образовательного процесса в университетах в условиях цифровой трансформации [Текст: электронный] / Е.С. Гаврилюк, А.О. Гоман // Вестник Академии знаний. — 2024. — URL: https://cyberleninka.ru/article/n/analiz-napravleniy-reinzhiniringa-obrazovatelnogo-protsessa-v-universitetah-v-usloviyah-tsifrovoy-transformatsii (дата обращения: 12.05.2026).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19. Димитриади, Г.Д. Основные методологии и подходы к моделированию бизнес-процессов компании [Текст: электронный] / Г.Д. Димитриади // Символ науки. — 2023. — URL: https://cyberleninka.ru/article/n/osnovnye-metodologii-i-podhody-k-modelirovaniyu-biznes-protsessov-kompanii (дата обращения: 12.05.2026).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20. Дрига, Д.В. Сравнительный анализ методов моделирования бизнес-процессов IDEF0 и BPMN для программной инженерии [Текст: электронный] / Д.В. Дрига, Д.С. Баркарь // Парадигма. — 2025. — URL: https://cyberleninka.ru/article/n/sravnitelnyy-analiz-metodov-modelirovaniya-biznes-protsessov-idef0-i-bpmn-dlya-programmnoy-inzhenerii (дата обращения: 12.05.2026).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21. Жихарев, А.Г. Усовершенствование диаграмм модель и нотация бизнес-процессов с помощью подхода «узел — функция — объект» [Текст: электронный] / А.Г. Жихарев, Е.В. Малкуш, С.И. Маторин // Advanced Engineering Research (Rostov-on-Don). — 2025. — URL: https://cyberleninka.ru/article/n/usovershenstvovanie-diagramm-business-process-model-and-notation-s-pomoschyu-podhoda-uzel-funktsiya-obekt (дата обращения: 12.05.2026).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22. Ильинская, А.В. Оценка эффектов и рисков реализации современных методов использования бизнес-процессов и практических рекомендаций в сфере высшего образования [Текст: электронный] / А.В. Ильинская // Экономика и социум. — 2026. — URL: https://cyberleninka.ru/article/n/otsenka-effektov-i-riskov-realizatsii-sovremennyh-metodov-ispolzovaniya-biznes-protsessov-i-prakticheskih-rekomendatsiy-v-sfere (дата обращения: 12.05.2026).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23. Ильинская, А.В. Формирование условий для развития современных идей в образовательной сфере [Текст: электронный] / А.В. Ильинская // Экономика и социум. — 2026. — URL: https://cyberleninka.ru/article/n/formirovanie-usloviy-dlya-razvitiya-sovremennyh-idey-v-obrazovatelnoy-sfere (дата обращения: 12.05.2026).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24. Информационное обеспечение коммерческой деятельности современных предприятий при проведении реинжиниринга бизнес-процессов [Текст: электронный] / В.В. Филатов, В.В. Безпалов, В.Н. Женжебир, О.А. Полянская // Журнал прикладных исследований. — 2023. — URL: https://cyberleninka.ru/article/n/informatsionnoe-obespechenie-kommercheskoy-deyatelnosti-sovremennyh-predpriyatiy-pri-provedenii-reinzhiniringa-biznes-protsessov (дата обращения: 12.05.2026).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25. Калянов, Г.Н. Визуальные языки и методы моделирования бизнес-процессов: перспективы развития и проблематика обучения [Текст: электронный] / Г.Н. Калянов // Открытое образование. — 2025. — URL: https://cyberleninka.ru/article/n/vizualnye-yazyki-i-metody-modelirovaniya-biznes-protsessov-perspektivy-razvitiya-i-problematika-obucheniya (дата обращения: 12.05.2026).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26. Колесникова, М.И. Методические подходы к исследованию бизнес-процессов в управлении предприятием [Текст: электронный] / М.И. Колесникова, Ю.В. Сорокина // Молодой исследователь Дона. — 2025. — URL: https://cyberleninka.ru/article/n/metodicheskie-podhody-k-issledovaniyu-biznes-protsessov-v-upravlenii-predpriyatiem (дата обращения: 12.05.2026).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27. Коровяковский, Д.Г. Тренды цифровой трансформации управления в сфере высшего образования [Текст: электронный] / Д.Г. Коровяковский, Е.В. Лавеч // Управление образованием: теория и практика. — 2024. — URL: https://cyberleninka.ru/article/n/trendy-tsifrovoy-transformatsii-upravleniya-v-sfere-vysshego-obrazovaniya (дата обращения: 12.05.2026).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28. Котиков, И.Е. Реинжиниринг бизнес-процессов коммерческой организации как фактор долгосрочного развития: фундаментальный анализ и теоретические предпосылки [Текст: электронный] / И.Е. Котиков // Вестник евразийской науки. — 2025. — URL: https://cyberleninka.ru/article/n/reinzhiniring-biznes-protsessov-kommercheskoy-organizatsii-kak-faktor-dolgosrochnogo-razvitiya-organizatsii-fundamentalnyy-analiz-i (дата обращения: 12.05.2026).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29. Котиков, И.Е. Современные проблемы и особенности реинжиниринга бизнес-процессов коммерческой организации [Текст: электронный] / И.Е. Котиков // Вестник евразийской науки. — 2025. — URL: https://cyberleninka.ru/article/n/sovremennye-problemy-i-osobennosti-reinzhiniringa-biznes-protsessov-kommercheskoy-organizatsii (дата обращения: 12.05.2026).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30. Кочегарова, Л.Г. Фабрика процессов как средство развития компетенций в области бережливого производства [Текст: электронный] / Л.Г. Кочегарова, А.Н. Короленко // Креативная экономика. — 2025. — URL: https://cyberleninka.ru/article/n/fabrika-protsessov-kak-sredstvo-razvitiya-kompetentsiy-v-oblasti-berezhlivogo-proizvodstva (дата обращения: 12.05.2026).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31. Круглов, Д.В. Цифровая платформа как инструмент оптимизации бизнес-процессов вуза и внешних партнеров [Текст: электронный] / Д.В. Круглов, В.Е. Ляшенко // Лидерство и менеджмент. — 2025. — URL: https://cyberleninka.ru/article/n/tsifrovaya-platforma-kak-instrument-optimizatsii-biznes-protsessov-vuza-i-vneshnih-partnerov (дата обращения: 12.05.2026).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32. Курникова, М.В. Современные технологии моделирования бизнес-процессов в проектно-изыскательской деятельности: анализ и тенденции [Текст: электронный] / М.В. Курникова, Д.С. Егоров, В.В. Мантуленко // Экономика, предпринимательство и право. — 2024. — URL: https://cyberleninka.ru/article/n/sovremennye-tehnologii-modelirovaniya-biznes-protsessov-v-proektno-izyskatelskoy-deyatelnosti-analiz-i-tendentsii (дата обращения: 12.05.2026).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33. Маматова, Г.Д. Актуальность концепции «Цифровой университет»: литературный обзор отечественных и зарубежных исследований [Текст: электронный] / Г.Д. Маматова, Т.С. Кучкаров // Информатика. Экономика. Управление. — 2024. — URL: https://cyberleninka.ru/article/n/aktualnost-kontseptsii-tsifrovoy-universitet-literaturnyy-obzor-otechestvennyh-i-zarubezhnyh-issledovaniy (дата обращения: 12.05.2026).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34. Мамедгулиев, Р.И. Возможности трансформации бизнес-архитектуры корпоративных университетов для совершенствования экосистемы цифровых образовательных продуктов [Текст: электронный] / Р.И. Мамедгулиев, Е.С. Гаврилюк // Экономика, предпринимательство и право. — 2024. — URL: https://cyberleninka.ru/article/n/vozmozhnosti-transformatsii-biznes-arhitektury-korporativnyh-universitetov-dlya-sovershenstvovaniya-ekosistemy-tsifrovyh (дата обращения: 12.05.2026).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35. Маньков, И.А. Цифровая эволюция современного предприятия: анализ процессов автоматизации, цифровизации и цифровой трансформации [Текст: электронный] / И.А. Маньков, Е.С. Гаврилюк // Прогрессивная экономика. — 2024. — URL: https://cyberleninka.ru/article/n/tsifrovaya-evolyutsiya-sovremennogo-predpriyatiya-analiz-protsessov-avtomatizatsii-tsifrovizatsii-i-tsifrovoy-transformatsii (дата обращения: 12.05.2026).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36. Модернизация высшего образования на основе цифровой трансформации: проекты, реалии, риски [Текст: электронный] / Л.В. Белова, Л.Ю. Михайлова, О.Н. Маликова [и др.] // Мир науки. Педагогика и психология. — 2025. — URL: https://cyberleninka.ru/article/n/modernizatsiya-vysshego-obrazovaniya-na-osnove-tsifrovoy-transformatsii-proekty-realii-riski (дата обращения: 12.05.2026).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37. Мунирова, Ю.С. Обзор экономико-математических методов для построения моделей деятельности в образовательных бизнес-структурах [Текст: электронный] / Ю.С. Мунирова // Вестник Волжского университета им. В.Н. Татищева. — 2023. — URL: https://cyberleninka.ru/article/n/obzor-ekonomiko-matematicheskih-metodov-dlya-postroeniya-modeley-deyatelnosti-v-obrazovatelnyh-biznes-strukturah (дата обращения: 12.05.2026).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38. Пестунов, И.А. Оптимизация бизнес-процесса коммерциализации разработок для государственных образовательных учреждений [Текст: электронный] / И.А. Пестунов, Г.Б. Пестунова, А.А. Погуда // Открытое образование. — 2023. — URL: https://cyberleninka.ru/article/n/optimizatsiya-biznes-protsessa-kommertsializatsii-razrabotok-dlya-gosudarstvennyh-obrazovatelnyh-uchrezhdeniy (дата обращения: 12.05.2026).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39. Петросов, Д.А. Применение теории сетей Петри в задачах разработки имитационных моделей бизнес-процессов на основе методологии IDEF3 [Текст: электронный] / Д.А. Петросов // Computational nanotechnology. — 2023. — URL: https://cyberleninka.ru/article/n/primenenie-teorii-setey-petri-v-zadachah-razrabotki-imitatsionnyh-modeley-biznes-protsessov-na-osnove-metodologii-idef3 (дата обращения: 12.05.2026).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40. Плоткина, Т.Ю. Формирование организационно-процессной модели управления цифровой трансформацией вузов [Текст: электронный] / Т.Ю. Плоткина // Вестник Академии знаний. — 2025. — URL: https://cyberleninka.ru/article/n/formirovanie-organizatsionno-protsessnoy-modeli-upravleniya-tsifrovoy-transformatsiey-vuzov (дата обращения: 12.05.2026).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41. Сравнение нотаций DFD, IDEF0, IDEF3, EPC и BPMN с нотацией УФО-анализа [Текст: электронный] / О.А. Зимовец, Е.В. Малкуш, С.И. Маторин, Н.И. Корсунов // Экономика. Информатика. — 2024. — URL: https://cyberleninka.ru/article/n/sravnenie-notatsiy-dfd-idef0-idef3-epc-i-bpmn-s-notatsiey-ufo-analiza (дата обращения: 12.05.2026).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42. Тронина, И.А. Процесс формирования адаптивной модели управления бизнес-процессами в условиях цифровизации [Текст: электронный] / И.А. Тронина, Д.С. Дуйков // Вестник Академии знаний. — 2025. — URL: https://cyberleninka.ru/article/n/protsess-formirovaniya-adaptivnoy-modeli-upravleniya-biznes-protsessami-v-usloviyah-tsifrovizatsii (дата обращения: 12.05.2026).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43. Успаева, М.Г. Цифровая трансформация высшего образования в России [Текст: электронный] / М.Г. Успаева, А.М. Гачаев // Управление образованием: теория и практика. — 2024. — URL: https://cyberleninka.ru/article/n/tsifrovaya-transformatsiya-vysshego-obrazovaniya-v-rossii (дата обращения: 12.05.2026).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44. Успаева, М.Г. Цифровая трансформация системы высшего образования в России: инновационные подходы к управлению образовательным процессом [Текст: электронный] / М.Г. Успаева, А.М. Гачаев // Управление образованием: теория и практика. — 2024. — URL: https://cyberleninka.ru/article/n/tsifrovaya-transformatsiya-sistemy-vysshego-obrazovaniya-v-rossii-innovatsionnye-podhody-k-upravleniyu-obrazovatelnym-protsessom (дата обращения: 12.05.2026).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45. Чекаданова, М.В. Моделирование бизнес-процессов промышленного кластера: методологический подход и начальный этап [Текст: электронный] / М.В. Чекаданова // Прогрессивная экономика. — 2026. — URL: https://cyberleninka.ru/article/n/modelirovanie-biznes-protsessov-promyshlennogo-klastera-metodologicheskiy-podhod-i-nachalnyy-etap (дата обращения: 12.05.2026).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46. Шевчук, Е.В. Цифровая трансформация управления качеством образовательных бизнес-процессов [Текст: электронный] / Е.В. Шевчук, А.В. Шпак // Вестник Российского университета дружбы народов. Серия: Информатизация образования. — 2023. — URL: https://cyberleninka.ru/article/n/tsifrovaya-transformatsiya-upravleniya-kachestvom-obrazovatelnyh-biznes-protsessov (дата обращения: 12.05.2026).</w:t>
      </w:r>
    </w:p>
    <w:p>
      <w:pPr>
        <w:spacing w:line="360" w:lineRule="auto" w:before="0" w:after="0"/>
        <w:ind w:firstLine="0"/>
        <w:jc w:val="both"/>
      </w:pP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Материалы интернет-сайтов</w:t>
      </w:r>
    </w:p>
    <w:p>
      <w:pPr>
        <w:spacing w:line="360" w:lineRule="auto" w:before="0" w:after="0"/>
        <w:ind w:firstLine="0"/>
        <w:jc w:val="both"/>
      </w:pP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47. Казанский федеральный университет [Электронный ресурс] // Официальный сайт. — URL: https://kpfu.ru/ (дата обращения: 15.05.2026).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48. Мониторинг эффективности деятельности организаций высшего образования [Электронный ресурс] // Главный информационно-вычислительный центр Минобрнауки России. — URL: https://monitoring.miccedu.ru/ (дата обращения: 14.05.2026).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49. Статистика высшего образования [Электронный ресурс] // Официальный сайт Министерства науки и высшего образования Российской Федерации. — URL: https://minobrnauki.gov.ru/action/stat/highed/ (дата обращения: 15.05.2026).</w:t>
      </w:r>
    </w:p>
    <w:p>
      <w:r>
        <w:br w:type="page"/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ПРИЛОЖЕНИЯ</w:t>
      </w:r>
    </w:p>
    <w:p>
      <w:pPr>
        <w:spacing w:line="360" w:lineRule="auto" w:before="0" w:after="0"/>
        <w:ind w:firstLine="0"/>
        <w:jc w:val="both"/>
      </w:pP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Приложение А.</w:t>
      </w:r>
      <w:r>
        <w:rPr>
          <w:rFonts w:ascii="Times New Roman" w:hAnsi="Times New Roman"/>
          <w:b w:val="0"/>
          <w:i w:val="0"/>
          <w:sz w:val="28"/>
        </w:rPr>
        <w:t xml:space="preserve"> Сводная таблица потерь по подразделениям КФУ (Дирекция музеев, Управление кадров, УДК) с классификацией по семи видам потерь бережливого производства.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Приложение Б.</w:t>
      </w:r>
      <w:r>
        <w:rPr>
          <w:rFonts w:ascii="Times New Roman" w:hAnsi="Times New Roman"/>
          <w:b w:val="0"/>
          <w:i w:val="0"/>
          <w:sz w:val="28"/>
        </w:rPr>
        <w:t xml:space="preserve"> Сводная таблица показателей AS IS / TO BE по трём процессам (время цикла, производительность, доля операций ДЦ/НДБ/НДЦ, ключевые инструменты трансформации).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Приложение В.</w:t>
      </w:r>
      <w:r>
        <w:rPr>
          <w:rFonts w:ascii="Times New Roman" w:hAnsi="Times New Roman"/>
          <w:b w:val="0"/>
          <w:i w:val="0"/>
          <w:sz w:val="28"/>
        </w:rPr>
        <w:t xml:space="preserve"> Расчёт NPV, IRR, дисконтированного срока окупаемости и анализа чувствительности по совокупному проекту реинжиниринга и в разрезе трёх подразделений.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Приложение Г.</w:t>
      </w:r>
      <w:r>
        <w:rPr>
          <w:rFonts w:ascii="Times New Roman" w:hAnsi="Times New Roman"/>
          <w:b w:val="0"/>
          <w:i w:val="0"/>
          <w:sz w:val="28"/>
        </w:rPr>
        <w:t xml:space="preserve"> Модели бизнес-процессов в нотациях IDEF0, BPMN и EPC для состояний AS IS и TO BE по каждому подразделению (9 диаграмм).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Приложение Д.</w:t>
      </w:r>
      <w:r>
        <w:rPr>
          <w:rFonts w:ascii="Times New Roman" w:hAnsi="Times New Roman"/>
          <w:b w:val="0"/>
          <w:i w:val="0"/>
          <w:sz w:val="28"/>
        </w:rPr>
        <w:t xml:space="preserve"> Сводная таблица связи реинжиниринга с показателями мониторинга эффективности вузов Минобрнауки России.</w:t>
      </w:r>
    </w:p>
    <w:sectPr w:rsidR="00FC693F" w:rsidRPr="0006063C" w:rsidSect="00034616">
      <w:footerReference w:type="default" r:id="rId9"/>
      <w:pgSz w:w="11906" w:h="16838"/>
      <w:pgMar w:top="1134" w:right="56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</w:r>
    <w:r>
      <w:rPr>
        <w:rFonts w:ascii="Times New Roman" w:hAnsi="Times New Roman"/>
        <w:sz w:val="24"/>
      </w:rPr>
      <w:instrText xml:space="preserve"> PAGE </w:instrText>
    </w:r>
    <w:r>
      <w:rPr>
        <w:rFonts w:ascii="Times New Roman" w:hAnsi="Times New Roman"/>
        <w:sz w:val="24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cs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