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82B" w:rsidRPr="00733291" w:rsidRDefault="0060182B">
      <w:pPr>
        <w:rPr>
          <w:b/>
        </w:rPr>
      </w:pPr>
      <w:bookmarkStart w:id="0" w:name="_GoBack"/>
      <w:bookmarkEnd w:id="0"/>
      <w:r w:rsidRPr="00733291">
        <w:rPr>
          <w:b/>
        </w:rPr>
        <w:t xml:space="preserve">The </w:t>
      </w:r>
      <w:proofErr w:type="spellStart"/>
      <w:r w:rsidRPr="00733291">
        <w:rPr>
          <w:b/>
        </w:rPr>
        <w:t>Intraclass</w:t>
      </w:r>
      <w:proofErr w:type="spellEnd"/>
      <w:r w:rsidRPr="00733291">
        <w:rPr>
          <w:b/>
        </w:rPr>
        <w:t xml:space="preserve"> Correlation</w:t>
      </w:r>
      <w:r w:rsidR="00BC20CC" w:rsidRPr="00733291">
        <w:rPr>
          <w:b/>
        </w:rPr>
        <w:t xml:space="preserve"> Coefficient</w:t>
      </w:r>
    </w:p>
    <w:p w:rsidR="00BC20CC" w:rsidRDefault="00BC20CC" w:rsidP="00BC20CC">
      <w:r>
        <w:t xml:space="preserve">The </w:t>
      </w:r>
      <w:proofErr w:type="spellStart"/>
      <w:r>
        <w:t>intraclass</w:t>
      </w:r>
      <w:proofErr w:type="spellEnd"/>
      <w:r>
        <w:t xml:space="preserve"> correlation coefficient (ICC) is a measure of agreement between two or more sets of ratings or measurements. When the measurements come from more than one rater, we </w:t>
      </w:r>
      <w:r w:rsidR="0034315C">
        <w:t>are measuring</w:t>
      </w:r>
      <w:r>
        <w:t xml:space="preserve"> </w:t>
      </w:r>
      <w:hyperlink r:id="rId6" w:history="1">
        <w:r w:rsidRPr="001F21CF">
          <w:rPr>
            <w:rStyle w:val="Hyperlink"/>
          </w:rPr>
          <w:t>interrater agreement</w:t>
        </w:r>
      </w:hyperlink>
      <w:r>
        <w:t xml:space="preserve">, or between rater agreement. When replicate measures are produced by the same rater, we </w:t>
      </w:r>
      <w:r w:rsidR="0034315C">
        <w:t>are measuring</w:t>
      </w:r>
      <w:r>
        <w:t xml:space="preserve"> </w:t>
      </w:r>
      <w:hyperlink r:id="rId7" w:history="1">
        <w:proofErr w:type="spellStart"/>
        <w:r w:rsidRPr="001F21CF">
          <w:rPr>
            <w:rStyle w:val="Hyperlink"/>
          </w:rPr>
          <w:t>intrarater</w:t>
        </w:r>
        <w:proofErr w:type="spellEnd"/>
        <w:r w:rsidRPr="001F21CF">
          <w:rPr>
            <w:rStyle w:val="Hyperlink"/>
          </w:rPr>
          <w:t xml:space="preserve"> agreement</w:t>
        </w:r>
      </w:hyperlink>
      <w:r>
        <w:t xml:space="preserve">, or within rater agreement. </w:t>
      </w:r>
    </w:p>
    <w:p w:rsidR="0034315C" w:rsidRDefault="0034315C" w:rsidP="0034315C">
      <w:r>
        <w:t>T</w:t>
      </w:r>
      <w:r w:rsidR="00BC20CC">
        <w:t xml:space="preserve">he ICC is </w:t>
      </w:r>
      <w:r w:rsidR="001F21CF">
        <w:t xml:space="preserve">a </w:t>
      </w:r>
      <w:r w:rsidR="00BC20CC">
        <w:t xml:space="preserve">parametric statistic </w:t>
      </w:r>
      <w:r w:rsidR="00B01C64">
        <w:t xml:space="preserve">which </w:t>
      </w:r>
      <w:r w:rsidR="001F21CF">
        <w:t xml:space="preserve">requires </w:t>
      </w:r>
      <w:r w:rsidR="00BC20CC">
        <w:t>all of the assumptions of the ANOVA</w:t>
      </w:r>
      <w:r w:rsidR="001F21CF">
        <w:t xml:space="preserve"> model, as the </w:t>
      </w:r>
      <w:r w:rsidR="00BC20CC">
        <w:t xml:space="preserve">ICC is calculated directly from the </w:t>
      </w:r>
      <w:r w:rsidR="001F21CF">
        <w:t xml:space="preserve">ANOVA </w:t>
      </w:r>
      <w:r w:rsidR="00BC20CC">
        <w:t>sums</w:t>
      </w:r>
      <w:r w:rsidR="001F21CF">
        <w:t xml:space="preserve"> of squares. </w:t>
      </w:r>
      <w:r w:rsidR="0037426C">
        <w:t xml:space="preserve">We test these assumptions using the Shapiro-Wilk test on the residuals of the ANOVA model. </w:t>
      </w:r>
      <w:r w:rsidR="001F21CF">
        <w:t xml:space="preserve">Most often, </w:t>
      </w:r>
      <w:r>
        <w:t>w</w:t>
      </w:r>
      <w:r w:rsidR="001F21CF">
        <w:t>e make use of a one-way ANOVA where the factor is the experimental unit being measured.</w:t>
      </w:r>
    </w:p>
    <w:tbl>
      <w:tblPr>
        <w:tblStyle w:val="TableGrid"/>
        <w:tblW w:w="0" w:type="auto"/>
        <w:tblLook w:val="04A0" w:firstRow="1" w:lastRow="0" w:firstColumn="1" w:lastColumn="0" w:noHBand="0" w:noVBand="1"/>
      </w:tblPr>
      <w:tblGrid>
        <w:gridCol w:w="2753"/>
        <w:gridCol w:w="6597"/>
      </w:tblGrid>
      <w:tr w:rsidR="0034315C" w:rsidTr="0034315C">
        <w:tc>
          <w:tcPr>
            <w:tcW w:w="2808" w:type="dxa"/>
            <w:vAlign w:val="center"/>
          </w:tcPr>
          <w:p w:rsidR="0034315C" w:rsidRPr="0034315C" w:rsidRDefault="0034315C" w:rsidP="0034315C">
            <w:pPr>
              <w:jc w:val="center"/>
              <w:rPr>
                <w:b/>
              </w:rPr>
            </w:pPr>
            <w:r w:rsidRPr="0034315C">
              <w:rPr>
                <w:b/>
              </w:rPr>
              <w:t>One-way ANOVA</w:t>
            </w:r>
          </w:p>
        </w:tc>
        <w:tc>
          <w:tcPr>
            <w:tcW w:w="6768" w:type="dxa"/>
          </w:tcPr>
          <w:p w:rsidR="0034315C" w:rsidRDefault="0034315C" w:rsidP="0034315C">
            <w:pPr>
              <w:jc w:val="center"/>
            </w:pPr>
            <w:r w:rsidRPr="0034315C">
              <w:rPr>
                <w:position w:val="-14"/>
              </w:rPr>
              <w:object w:dxaOrig="16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8.75pt" o:ole="">
                  <v:imagedata r:id="rId8" o:title=""/>
                </v:shape>
                <o:OLEObject Type="Embed" ProgID="Equation.3" ShapeID="_x0000_i1025" DrawAspect="Content" ObjectID="_1585391093" r:id="rId9"/>
              </w:object>
            </w:r>
          </w:p>
        </w:tc>
      </w:tr>
      <w:tr w:rsidR="0034315C" w:rsidTr="0034315C">
        <w:tc>
          <w:tcPr>
            <w:tcW w:w="2808" w:type="dxa"/>
            <w:vAlign w:val="center"/>
          </w:tcPr>
          <w:p w:rsidR="0034315C" w:rsidRPr="0034315C" w:rsidRDefault="0034315C" w:rsidP="0034315C">
            <w:pPr>
              <w:jc w:val="center"/>
              <w:rPr>
                <w:b/>
              </w:rPr>
            </w:pPr>
            <w:r w:rsidRPr="0034315C">
              <w:rPr>
                <w:b/>
              </w:rPr>
              <w:t>ICC Calculation</w:t>
            </w:r>
          </w:p>
        </w:tc>
        <w:tc>
          <w:tcPr>
            <w:tcW w:w="6768" w:type="dxa"/>
          </w:tcPr>
          <w:p w:rsidR="0034315C" w:rsidRDefault="0034315C" w:rsidP="0034315C">
            <w:pPr>
              <w:jc w:val="center"/>
            </w:pPr>
            <w:r w:rsidRPr="0034315C">
              <w:rPr>
                <w:position w:val="-30"/>
              </w:rPr>
              <w:object w:dxaOrig="1560" w:dyaOrig="720">
                <v:shape id="_x0000_i1026" type="#_x0000_t75" style="width:78pt;height:36pt" o:ole="">
                  <v:imagedata r:id="rId10" o:title=""/>
                </v:shape>
                <o:OLEObject Type="Embed" ProgID="Equation.3" ShapeID="_x0000_i1026" DrawAspect="Content" ObjectID="_1585391094" r:id="rId11"/>
              </w:object>
            </w:r>
          </w:p>
          <w:p w:rsidR="0034315C" w:rsidRDefault="0034315C" w:rsidP="0034315C">
            <w:r>
              <w:br/>
              <w:t>Referring to the variance of alpha and epsilon, respectively</w:t>
            </w:r>
          </w:p>
        </w:tc>
      </w:tr>
    </w:tbl>
    <w:p w:rsidR="007302B4" w:rsidRDefault="007302B4" w:rsidP="00BC20CC"/>
    <w:p w:rsidR="0037426C" w:rsidRDefault="0037426C" w:rsidP="00BC20CC">
      <w:r>
        <w:t>T</w:t>
      </w:r>
      <w:r w:rsidRPr="0037426C">
        <w:t xml:space="preserve">his ICC is always non-negative, allowing it to be interpreted as the proportion of total variance that is "between groups." This ICC can be generalized to allow for covariate effects, in which case the ICC is interpreted as capturing the within-class similarity of the </w:t>
      </w:r>
      <w:r>
        <w:t xml:space="preserve">covariate-adjusted values. </w:t>
      </w:r>
      <w:r w:rsidRPr="001F21CF">
        <w:t xml:space="preserve">For more on the kind of model needed for the different kinds of </w:t>
      </w:r>
      <w:r>
        <w:t>assessment, the</w:t>
      </w:r>
      <w:r w:rsidRPr="001F21CF">
        <w:t xml:space="preserve"> regarded work </w:t>
      </w:r>
      <w:hyperlink r:id="rId12" w:history="1">
        <w:r w:rsidRPr="001F21CF">
          <w:rPr>
            <w:rStyle w:val="Hyperlink"/>
          </w:rPr>
          <w:t xml:space="preserve">by </w:t>
        </w:r>
        <w:proofErr w:type="spellStart"/>
        <w:r w:rsidRPr="001F21CF">
          <w:rPr>
            <w:rStyle w:val="Hyperlink"/>
          </w:rPr>
          <w:t>Shrout</w:t>
        </w:r>
        <w:proofErr w:type="spellEnd"/>
        <w:r w:rsidRPr="001F21CF">
          <w:rPr>
            <w:rStyle w:val="Hyperlink"/>
          </w:rPr>
          <w:t xml:space="preserve"> &amp; Fleiss (1979)</w:t>
        </w:r>
      </w:hyperlink>
      <w:r w:rsidRPr="001F21CF">
        <w:t xml:space="preserve"> should </w:t>
      </w:r>
      <w:r>
        <w:t>be consulted.</w:t>
      </w:r>
    </w:p>
    <w:p w:rsidR="006758D3" w:rsidRDefault="00AC2D2D" w:rsidP="007302B4">
      <w:r w:rsidRPr="00733291">
        <w:rPr>
          <w:u w:val="single"/>
        </w:rPr>
        <w:t>Interpretation</w:t>
      </w:r>
      <w:r w:rsidRPr="00AC2D2D">
        <w:rPr>
          <w:b/>
        </w:rPr>
        <w:t>:</w:t>
      </w:r>
      <w:r w:rsidR="0034315C">
        <w:t xml:space="preserve"> </w:t>
      </w:r>
      <w:r>
        <w:t>The</w:t>
      </w:r>
      <w:r w:rsidR="001F21CF" w:rsidRPr="00405D34">
        <w:t xml:space="preserve"> ICC ranges from 0 to 1, with 1</w:t>
      </w:r>
      <w:r w:rsidR="001F21CF">
        <w:t xml:space="preserve"> indicating perfect agreement. </w:t>
      </w:r>
      <w:r w:rsidR="001F21CF" w:rsidRPr="00405D34">
        <w:t xml:space="preserve">A commonly adopted minimum acceptable </w:t>
      </w:r>
      <w:proofErr w:type="spellStart"/>
      <w:r w:rsidR="001F21CF" w:rsidRPr="00405D34">
        <w:t>intraclass</w:t>
      </w:r>
      <w:proofErr w:type="spellEnd"/>
      <w:r w:rsidR="001F21CF" w:rsidRPr="00405D34">
        <w:t xml:space="preserve"> correlation coefficient is 0.80 (</w:t>
      </w:r>
      <w:proofErr w:type="spellStart"/>
      <w:r w:rsidR="001F21CF" w:rsidRPr="00405D34">
        <w:t>Shrout</w:t>
      </w:r>
      <w:proofErr w:type="spellEnd"/>
      <w:r w:rsidR="001F21CF" w:rsidRPr="00405D34">
        <w:t xml:space="preserve"> and Fleiss</w:t>
      </w:r>
      <w:r w:rsidR="001F21CF">
        <w:t>, 1979</w:t>
      </w:r>
      <w:r w:rsidR="001F21CF" w:rsidRPr="00405D34">
        <w:t>), with 0.90</w:t>
      </w:r>
      <w:r w:rsidR="001F21CF">
        <w:t xml:space="preserve"> and </w:t>
      </w:r>
    </w:p>
    <w:sectPr w:rsidR="0067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700E3"/>
    <w:multiLevelType w:val="hybridMultilevel"/>
    <w:tmpl w:val="6EB2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2B"/>
    <w:rsid w:val="000A03C9"/>
    <w:rsid w:val="001A6775"/>
    <w:rsid w:val="001C3343"/>
    <w:rsid w:val="001F21CF"/>
    <w:rsid w:val="0034315C"/>
    <w:rsid w:val="0037426C"/>
    <w:rsid w:val="00517CD1"/>
    <w:rsid w:val="005D1220"/>
    <w:rsid w:val="0060182B"/>
    <w:rsid w:val="00652677"/>
    <w:rsid w:val="006758D3"/>
    <w:rsid w:val="007302B4"/>
    <w:rsid w:val="00733291"/>
    <w:rsid w:val="007F076E"/>
    <w:rsid w:val="007F14B7"/>
    <w:rsid w:val="00AA3640"/>
    <w:rsid w:val="00AC2D2D"/>
    <w:rsid w:val="00B01C64"/>
    <w:rsid w:val="00BC20CC"/>
    <w:rsid w:val="00C45DDD"/>
    <w:rsid w:val="00C564A4"/>
    <w:rsid w:val="00E52486"/>
    <w:rsid w:val="00F7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AD00"/>
  <w15:docId w15:val="{FE0CFC74-AD8F-4915-B95E-511AE02A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82B"/>
    <w:pPr>
      <w:ind w:left="720"/>
      <w:contextualSpacing/>
    </w:pPr>
  </w:style>
  <w:style w:type="character" w:styleId="Hyperlink">
    <w:name w:val="Hyperlink"/>
    <w:basedOn w:val="DefaultParagraphFont"/>
    <w:uiPriority w:val="99"/>
    <w:unhideWhenUsed/>
    <w:rsid w:val="001F21CF"/>
    <w:rPr>
      <w:color w:val="0000FF" w:themeColor="hyperlink"/>
      <w:u w:val="single"/>
    </w:rPr>
  </w:style>
  <w:style w:type="character" w:styleId="PlaceholderText">
    <w:name w:val="Placeholder Text"/>
    <w:basedOn w:val="DefaultParagraphFont"/>
    <w:uiPriority w:val="99"/>
    <w:semiHidden/>
    <w:rsid w:val="0034315C"/>
    <w:rPr>
      <w:color w:val="808080"/>
    </w:rPr>
  </w:style>
  <w:style w:type="paragraph" w:styleId="BalloonText">
    <w:name w:val="Balloon Text"/>
    <w:basedOn w:val="Normal"/>
    <w:link w:val="BalloonTextChar"/>
    <w:uiPriority w:val="99"/>
    <w:semiHidden/>
    <w:unhideWhenUsed/>
    <w:rsid w:val="0034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15C"/>
    <w:rPr>
      <w:rFonts w:ascii="Tahoma" w:hAnsi="Tahoma" w:cs="Tahoma"/>
      <w:sz w:val="16"/>
      <w:szCs w:val="16"/>
    </w:rPr>
  </w:style>
  <w:style w:type="table" w:styleId="TableGrid">
    <w:name w:val="Table Grid"/>
    <w:basedOn w:val="TableNormal"/>
    <w:uiPriority w:val="59"/>
    <w:rsid w:val="00343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0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076E"/>
    <w:rPr>
      <w:rFonts w:ascii="Courier New" w:eastAsia="Times New Roman" w:hAnsi="Courier New" w:cs="Courier New"/>
      <w:sz w:val="20"/>
      <w:szCs w:val="20"/>
    </w:rPr>
  </w:style>
  <w:style w:type="character" w:customStyle="1" w:styleId="gd40030ccr">
    <w:name w:val="gd40030ccr"/>
    <w:basedOn w:val="DefaultParagraphFont"/>
    <w:rsid w:val="007F076E"/>
  </w:style>
  <w:style w:type="character" w:customStyle="1" w:styleId="gd40030cor">
    <w:name w:val="gd40030cor"/>
    <w:basedOn w:val="DefaultParagraphFont"/>
    <w:rsid w:val="007F076E"/>
  </w:style>
  <w:style w:type="character" w:customStyle="1" w:styleId="Heading1Char">
    <w:name w:val="Heading 1 Char"/>
    <w:basedOn w:val="DefaultParagraphFont"/>
    <w:link w:val="Heading1"/>
    <w:uiPriority w:val="9"/>
    <w:rsid w:val="00E5248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52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248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8779">
      <w:bodyDiv w:val="1"/>
      <w:marLeft w:val="0"/>
      <w:marRight w:val="0"/>
      <w:marTop w:val="0"/>
      <w:marBottom w:val="0"/>
      <w:divBdr>
        <w:top w:val="none" w:sz="0" w:space="0" w:color="auto"/>
        <w:left w:val="none" w:sz="0" w:space="0" w:color="auto"/>
        <w:bottom w:val="none" w:sz="0" w:space="0" w:color="auto"/>
        <w:right w:val="none" w:sz="0" w:space="0" w:color="auto"/>
      </w:divBdr>
    </w:div>
    <w:div w:id="241372093">
      <w:bodyDiv w:val="1"/>
      <w:marLeft w:val="0"/>
      <w:marRight w:val="0"/>
      <w:marTop w:val="0"/>
      <w:marBottom w:val="0"/>
      <w:divBdr>
        <w:top w:val="none" w:sz="0" w:space="0" w:color="auto"/>
        <w:left w:val="none" w:sz="0" w:space="0" w:color="auto"/>
        <w:bottom w:val="none" w:sz="0" w:space="0" w:color="auto"/>
        <w:right w:val="none" w:sz="0" w:space="0" w:color="auto"/>
      </w:divBdr>
    </w:div>
    <w:div w:id="369500794">
      <w:bodyDiv w:val="1"/>
      <w:marLeft w:val="0"/>
      <w:marRight w:val="0"/>
      <w:marTop w:val="0"/>
      <w:marBottom w:val="0"/>
      <w:divBdr>
        <w:top w:val="none" w:sz="0" w:space="0" w:color="auto"/>
        <w:left w:val="none" w:sz="0" w:space="0" w:color="auto"/>
        <w:bottom w:val="none" w:sz="0" w:space="0" w:color="auto"/>
        <w:right w:val="none" w:sz="0" w:space="0" w:color="auto"/>
      </w:divBdr>
    </w:div>
    <w:div w:id="999582306">
      <w:bodyDiv w:val="1"/>
      <w:marLeft w:val="0"/>
      <w:marRight w:val="0"/>
      <w:marTop w:val="0"/>
      <w:marBottom w:val="0"/>
      <w:divBdr>
        <w:top w:val="none" w:sz="0" w:space="0" w:color="auto"/>
        <w:left w:val="none" w:sz="0" w:space="0" w:color="auto"/>
        <w:bottom w:val="none" w:sz="0" w:space="0" w:color="auto"/>
        <w:right w:val="none" w:sz="0" w:space="0" w:color="auto"/>
      </w:divBdr>
    </w:div>
    <w:div w:id="1015496818">
      <w:bodyDiv w:val="1"/>
      <w:marLeft w:val="120"/>
      <w:marRight w:val="120"/>
      <w:marTop w:val="0"/>
      <w:marBottom w:val="0"/>
      <w:divBdr>
        <w:top w:val="none" w:sz="0" w:space="0" w:color="auto"/>
        <w:left w:val="none" w:sz="0" w:space="0" w:color="auto"/>
        <w:bottom w:val="none" w:sz="0" w:space="0" w:color="auto"/>
        <w:right w:val="none" w:sz="0" w:space="0" w:color="auto"/>
      </w:divBdr>
      <w:divsChild>
        <w:div w:id="1997226137">
          <w:marLeft w:val="0"/>
          <w:marRight w:val="0"/>
          <w:marTop w:val="0"/>
          <w:marBottom w:val="0"/>
          <w:divBdr>
            <w:top w:val="none" w:sz="0" w:space="0" w:color="auto"/>
            <w:left w:val="none" w:sz="0" w:space="0" w:color="auto"/>
            <w:bottom w:val="none" w:sz="0" w:space="0" w:color="auto"/>
            <w:right w:val="none" w:sz="0" w:space="0" w:color="auto"/>
          </w:divBdr>
          <w:divsChild>
            <w:div w:id="18796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7792">
      <w:bodyDiv w:val="1"/>
      <w:marLeft w:val="0"/>
      <w:marRight w:val="0"/>
      <w:marTop w:val="0"/>
      <w:marBottom w:val="0"/>
      <w:divBdr>
        <w:top w:val="none" w:sz="0" w:space="0" w:color="auto"/>
        <w:left w:val="none" w:sz="0" w:space="0" w:color="auto"/>
        <w:bottom w:val="none" w:sz="0" w:space="0" w:color="auto"/>
        <w:right w:val="none" w:sz="0" w:space="0" w:color="auto"/>
      </w:divBdr>
    </w:div>
    <w:div w:id="214276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Intra-rater_reliability" TargetMode="External"/><Relationship Id="rId12" Type="http://schemas.openxmlformats.org/officeDocument/2006/relationships/hyperlink" Target="http://psycnet.apa.org/journals/bul/86/2/4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Inter-rater_reliability" TargetMode="Externa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D1E70-9F2B-4309-B044-CB6F0D8E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Blanchette, Derek R</dc:creator>
  <cp:lastModifiedBy>Blanchette, Derek R</cp:lastModifiedBy>
  <cp:revision>2</cp:revision>
  <cp:lastPrinted>2011-11-28T22:09:00Z</cp:lastPrinted>
  <dcterms:created xsi:type="dcterms:W3CDTF">2018-04-16T18:38:00Z</dcterms:created>
  <dcterms:modified xsi:type="dcterms:W3CDTF">2018-04-16T18:38:00Z</dcterms:modified>
</cp:coreProperties>
</file>