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34" w:rsidRDefault="008D7334">
      <w:pPr>
        <w:rPr>
          <w:b/>
        </w:rPr>
      </w:pPr>
    </w:p>
    <w:p w:rsidR="008D7334" w:rsidRDefault="008D73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C6D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34" w:rsidRDefault="008D7334">
      <w:pPr>
        <w:rPr>
          <w:b/>
        </w:rPr>
      </w:pPr>
    </w:p>
    <w:p w:rsidR="00A00A85" w:rsidRPr="00C91CF3" w:rsidRDefault="00C91CF3">
      <w:pPr>
        <w:rPr>
          <w:b/>
        </w:rPr>
      </w:pPr>
      <w:r w:rsidRPr="00C91CF3">
        <w:rPr>
          <w:b/>
        </w:rPr>
        <w:t>Methods</w:t>
      </w:r>
    </w:p>
    <w:p w:rsidR="00D855B2" w:rsidRDefault="00D855B2" w:rsidP="00487B20">
      <w:r>
        <w:t>We reported nine performance measures, but we only analyzed the four with more studies as separate meta-analysis (fig 1).</w:t>
      </w:r>
    </w:p>
    <w:p w:rsidR="00C91CF3" w:rsidRPr="00D855B2" w:rsidRDefault="00C91CF3" w:rsidP="00487B20">
      <w:pPr>
        <w:rPr>
          <w:rFonts w:eastAsia="Times New Roman" w:cs="Times New Roman"/>
          <w:sz w:val="30"/>
          <w:szCs w:val="30"/>
        </w:rPr>
      </w:pPr>
      <w:r>
        <w:t xml:space="preserve">We used the </w:t>
      </w:r>
      <w:proofErr w:type="spellStart"/>
      <w:r>
        <w:t>metafor</w:t>
      </w:r>
      <w:proofErr w:type="spellEnd"/>
      <w:r>
        <w:t xml:space="preserve"> package (</w:t>
      </w:r>
      <w:proofErr w:type="spellStart"/>
      <w:r>
        <w:t>Viechtbauer</w:t>
      </w:r>
      <w:proofErr w:type="spellEnd"/>
      <w:r>
        <w:t xml:space="preserve">, 2010), from the R environment (R Core Team, 2016). We </w:t>
      </w:r>
      <w:r w:rsidRPr="00D855B2">
        <w:t xml:space="preserve">compared the studies using </w:t>
      </w:r>
      <w:r w:rsidR="00487B20" w:rsidRPr="00D855B2">
        <w:t>Standardized</w:t>
      </w:r>
      <w:r w:rsidRPr="00D855B2">
        <w:t xml:space="preserve"> Mean Difference</w:t>
      </w:r>
      <w:r w:rsidRPr="00D855B2">
        <w:t>s due to studies using different scales to measure each of the performances</w:t>
      </w:r>
      <w:r w:rsidRPr="00D855B2">
        <w:t xml:space="preserve">, </w:t>
      </w:r>
      <w:r w:rsidR="00487B20" w:rsidRPr="00D855B2">
        <w:t>(</w:t>
      </w:r>
      <w:r w:rsidRPr="00D855B2">
        <w:t xml:space="preserve">e.g. </w:t>
      </w:r>
      <w:r w:rsidR="00487B20" w:rsidRPr="00D855B2">
        <w:t xml:space="preserve">Total, Total females, % of total). </w:t>
      </w:r>
      <w:r w:rsidR="00487B20" w:rsidRPr="00D855B2">
        <w:t>The fixed effect model assumes that the estim</w:t>
      </w:r>
      <w:r w:rsidR="00487B20" w:rsidRPr="00D855B2">
        <w:t xml:space="preserve">ated effects from the component </w:t>
      </w:r>
      <w:r w:rsidR="00487B20" w:rsidRPr="00D855B2">
        <w:t xml:space="preserve">studies in a meta-analysis come from </w:t>
      </w:r>
      <w:r w:rsidR="00487B20" w:rsidRPr="00D855B2">
        <w:t>a single homogeneous population, on the other hand, t</w:t>
      </w:r>
      <w:r w:rsidR="00487B20" w:rsidRPr="00D855B2">
        <w:t>he random effects</w:t>
      </w:r>
      <w:r w:rsidR="00487B20" w:rsidRPr="00D855B2">
        <w:t xml:space="preserve"> </w:t>
      </w:r>
      <w:r w:rsidR="00487B20" w:rsidRPr="00D855B2">
        <w:t>model seeks to account for the fact that the study effect estimates are often more variable than assumed in the fixed effect model</w:t>
      </w:r>
      <w:r w:rsidR="00487B20" w:rsidRPr="00D855B2">
        <w:t xml:space="preserve"> and come from different populations, which is why we used the random effects model (</w:t>
      </w:r>
      <w:proofErr w:type="spellStart"/>
      <w:r w:rsidR="00D855B2" w:rsidRPr="00D855B2">
        <w:rPr>
          <w:rFonts w:eastAsia="Times New Roman" w:cs="Times New Roman"/>
        </w:rPr>
        <w:t>Schwarzer</w:t>
      </w:r>
      <w:proofErr w:type="spellEnd"/>
      <w:r w:rsidR="00D855B2" w:rsidRPr="00D855B2">
        <w:rPr>
          <w:rFonts w:eastAsia="Times New Roman" w:cs="Times New Roman"/>
        </w:rPr>
        <w:t>, 2015</w:t>
      </w:r>
      <w:r w:rsidR="00487B20" w:rsidRPr="00D855B2">
        <w:t>)</w:t>
      </w:r>
      <w:r w:rsidR="00D855B2">
        <w:t>. We used functional group as moderator and calculated the effect size using Hedge’s g.</w:t>
      </w:r>
    </w:p>
    <w:p w:rsidR="008D7334" w:rsidRPr="00D855B2" w:rsidRDefault="008D7334" w:rsidP="00C91CF3">
      <w:pPr>
        <w:rPr>
          <w:b/>
          <w:sz w:val="30"/>
          <w:szCs w:val="30"/>
        </w:rPr>
      </w:pPr>
      <w:r w:rsidRPr="00D855B2">
        <w:rPr>
          <w:b/>
          <w:sz w:val="30"/>
          <w:szCs w:val="30"/>
        </w:rPr>
        <w:t>Results</w:t>
      </w:r>
    </w:p>
    <w:p w:rsidR="008D7334" w:rsidRPr="00D855B2" w:rsidRDefault="00D855B2" w:rsidP="00C91CF3">
      <w:r>
        <w:t xml:space="preserve">The overall model without </w:t>
      </w:r>
      <w:proofErr w:type="gramStart"/>
      <w:r w:rsidR="007A40AD">
        <w:t>moderators</w:t>
      </w:r>
      <w:proofErr w:type="gramEnd"/>
      <w:r>
        <w:t xml:space="preserve"> shows, that abundance is 1.4 times standard errors lower in treated vs untreated sites. When we take a look at different functional groups, omnivores and pollinators have a very high effect size with abundances 3.04 and 2.68 standard errors lower than the control </w:t>
      </w:r>
      <w:proofErr w:type="gramStart"/>
      <w:r>
        <w:t>groups(</w:t>
      </w:r>
      <w:proofErr w:type="gramEnd"/>
      <w:r>
        <w:t xml:space="preserve">Fig 2, table 1). The predators on the other hand </w:t>
      </w:r>
      <w:r w:rsidR="007A40AD">
        <w:t xml:space="preserve">did not have any statistical differences </w:t>
      </w:r>
      <w:r w:rsidR="007A40AD">
        <w:lastRenderedPageBreak/>
        <w:t>between the control and treatments. The model using only functional group as moderator for abundance explains 24.48% of the variance</w:t>
      </w:r>
      <w:bookmarkStart w:id="0" w:name="_GoBack"/>
      <w:bookmarkEnd w:id="0"/>
    </w:p>
    <w:p w:rsidR="008D7334" w:rsidRDefault="008D7334" w:rsidP="00C91CF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2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C20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34" w:rsidRDefault="008D7334" w:rsidP="00C91CF3">
      <w:pPr>
        <w:rPr>
          <w:b/>
        </w:rPr>
      </w:pPr>
    </w:p>
    <w:p w:rsidR="008D7334" w:rsidRDefault="008D7334" w:rsidP="00C91CF3">
      <w:proofErr w:type="spellStart"/>
      <w:r w:rsidRPr="008D7334">
        <w:t>Fioadgiadjgpoajgteaqpt</w:t>
      </w:r>
      <w:proofErr w:type="spellEnd"/>
    </w:p>
    <w:p w:rsidR="008D7334" w:rsidRDefault="008D7334" w:rsidP="00C91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18"/>
        <w:gridCol w:w="1118"/>
        <w:gridCol w:w="1215"/>
        <w:gridCol w:w="1215"/>
      </w:tblGrid>
      <w:tr w:rsidR="008D7334" w:rsidRPr="008D7334" w:rsidTr="002D0066">
        <w:trPr>
          <w:trHeight w:val="288"/>
        </w:trPr>
        <w:tc>
          <w:tcPr>
            <w:tcW w:w="1162" w:type="dxa"/>
            <w:noWrap/>
            <w:hideMark/>
          </w:tcPr>
          <w:p w:rsidR="008D7334" w:rsidRPr="008D7334" w:rsidRDefault="00487B20">
            <w:r>
              <w:t>Hedge’s d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>
            <w:r w:rsidRPr="008D7334">
              <w:t>ci.lb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>
            <w:proofErr w:type="spellStart"/>
            <w:r w:rsidRPr="008D7334">
              <w:t>ci.ub</w:t>
            </w:r>
            <w:proofErr w:type="spellEnd"/>
          </w:p>
        </w:tc>
        <w:tc>
          <w:tcPr>
            <w:tcW w:w="1215" w:type="dxa"/>
            <w:noWrap/>
            <w:hideMark/>
          </w:tcPr>
          <w:p w:rsidR="008D7334" w:rsidRPr="008D7334" w:rsidRDefault="008D7334">
            <w:proofErr w:type="spellStart"/>
            <w:r w:rsidRPr="008D7334">
              <w:t>mlab</w:t>
            </w:r>
            <w:proofErr w:type="spellEnd"/>
          </w:p>
        </w:tc>
        <w:tc>
          <w:tcPr>
            <w:tcW w:w="1215" w:type="dxa"/>
          </w:tcPr>
          <w:p w:rsidR="008D7334" w:rsidRPr="008D7334" w:rsidRDefault="008D7334">
            <w:r>
              <w:t>p-Value</w:t>
            </w:r>
          </w:p>
        </w:tc>
      </w:tr>
      <w:tr w:rsidR="008D7334" w:rsidRPr="008D7334" w:rsidTr="002D0066">
        <w:trPr>
          <w:trHeight w:val="288"/>
        </w:trPr>
        <w:tc>
          <w:tcPr>
            <w:tcW w:w="1162" w:type="dxa"/>
            <w:noWrap/>
            <w:hideMark/>
          </w:tcPr>
          <w:p w:rsidR="008D7334" w:rsidRPr="008D7334" w:rsidRDefault="008D7334" w:rsidP="008D7334">
            <w:r w:rsidRPr="008D7334">
              <w:t>-1.41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-2.13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-0.69</w:t>
            </w:r>
          </w:p>
        </w:tc>
        <w:tc>
          <w:tcPr>
            <w:tcW w:w="1215" w:type="dxa"/>
            <w:noWrap/>
            <w:hideMark/>
          </w:tcPr>
          <w:p w:rsidR="008D7334" w:rsidRPr="008D7334" w:rsidRDefault="008D7334">
            <w:r w:rsidRPr="008D7334">
              <w:t>Overall</w:t>
            </w:r>
          </w:p>
        </w:tc>
        <w:tc>
          <w:tcPr>
            <w:tcW w:w="1215" w:type="dxa"/>
          </w:tcPr>
          <w:p w:rsidR="008D7334" w:rsidRPr="00487B20" w:rsidRDefault="00487B20">
            <w:pPr>
              <w:rPr>
                <w:b/>
              </w:rPr>
            </w:pPr>
            <w:r w:rsidRPr="00487B20">
              <w:rPr>
                <w:b/>
              </w:rPr>
              <w:t>0.0001</w:t>
            </w:r>
          </w:p>
        </w:tc>
      </w:tr>
      <w:tr w:rsidR="008D7334" w:rsidRPr="008D7334" w:rsidTr="002D0066">
        <w:trPr>
          <w:trHeight w:val="288"/>
        </w:trPr>
        <w:tc>
          <w:tcPr>
            <w:tcW w:w="1162" w:type="dxa"/>
            <w:noWrap/>
            <w:hideMark/>
          </w:tcPr>
          <w:p w:rsidR="008D7334" w:rsidRPr="008D7334" w:rsidRDefault="008D7334" w:rsidP="008D7334">
            <w:r w:rsidRPr="008D7334">
              <w:t>-3.03534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-4.03127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-2.0394</w:t>
            </w:r>
          </w:p>
        </w:tc>
        <w:tc>
          <w:tcPr>
            <w:tcW w:w="1215" w:type="dxa"/>
            <w:noWrap/>
            <w:hideMark/>
          </w:tcPr>
          <w:p w:rsidR="008D7334" w:rsidRPr="008D7334" w:rsidRDefault="008D7334">
            <w:r w:rsidRPr="008D7334">
              <w:t>Omnivore</w:t>
            </w:r>
          </w:p>
        </w:tc>
        <w:tc>
          <w:tcPr>
            <w:tcW w:w="1215" w:type="dxa"/>
          </w:tcPr>
          <w:p w:rsidR="008D7334" w:rsidRPr="00487B20" w:rsidRDefault="008D7334">
            <w:pPr>
              <w:rPr>
                <w:b/>
              </w:rPr>
            </w:pPr>
            <w:r w:rsidRPr="00487B20">
              <w:rPr>
                <w:b/>
              </w:rPr>
              <w:t>&lt;.0001</w:t>
            </w:r>
          </w:p>
        </w:tc>
      </w:tr>
      <w:tr w:rsidR="008D7334" w:rsidRPr="008D7334" w:rsidTr="002D0066">
        <w:trPr>
          <w:trHeight w:val="288"/>
        </w:trPr>
        <w:tc>
          <w:tcPr>
            <w:tcW w:w="1162" w:type="dxa"/>
            <w:noWrap/>
            <w:hideMark/>
          </w:tcPr>
          <w:p w:rsidR="008D7334" w:rsidRPr="008D7334" w:rsidRDefault="008D7334" w:rsidP="008D7334">
            <w:r w:rsidRPr="008D7334">
              <w:t>-2.68123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-4.9019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-0.46057</w:t>
            </w:r>
          </w:p>
        </w:tc>
        <w:tc>
          <w:tcPr>
            <w:tcW w:w="1215" w:type="dxa"/>
            <w:noWrap/>
            <w:hideMark/>
          </w:tcPr>
          <w:p w:rsidR="008D7334" w:rsidRPr="008D7334" w:rsidRDefault="008D7334">
            <w:r w:rsidRPr="008D7334">
              <w:t>Pollinator</w:t>
            </w:r>
          </w:p>
        </w:tc>
        <w:tc>
          <w:tcPr>
            <w:tcW w:w="1215" w:type="dxa"/>
          </w:tcPr>
          <w:p w:rsidR="008D7334" w:rsidRPr="00487B20" w:rsidRDefault="00487B20">
            <w:pPr>
              <w:rPr>
                <w:b/>
              </w:rPr>
            </w:pPr>
            <w:r w:rsidRPr="00487B20">
              <w:rPr>
                <w:b/>
              </w:rPr>
              <w:t>0.0180</w:t>
            </w:r>
          </w:p>
        </w:tc>
      </w:tr>
      <w:tr w:rsidR="008D7334" w:rsidRPr="008D7334" w:rsidTr="002D0066">
        <w:trPr>
          <w:trHeight w:val="288"/>
        </w:trPr>
        <w:tc>
          <w:tcPr>
            <w:tcW w:w="1162" w:type="dxa"/>
            <w:noWrap/>
            <w:hideMark/>
          </w:tcPr>
          <w:p w:rsidR="008D7334" w:rsidRPr="008D7334" w:rsidRDefault="008D7334" w:rsidP="008D7334">
            <w:r w:rsidRPr="008D7334">
              <w:t>0.015636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-0.84877</w:t>
            </w:r>
          </w:p>
        </w:tc>
        <w:tc>
          <w:tcPr>
            <w:tcW w:w="1118" w:type="dxa"/>
            <w:noWrap/>
            <w:hideMark/>
          </w:tcPr>
          <w:p w:rsidR="008D7334" w:rsidRPr="008D7334" w:rsidRDefault="008D7334" w:rsidP="008D7334">
            <w:r w:rsidRPr="008D7334">
              <w:t>0.88004</w:t>
            </w:r>
          </w:p>
        </w:tc>
        <w:tc>
          <w:tcPr>
            <w:tcW w:w="1215" w:type="dxa"/>
            <w:noWrap/>
            <w:hideMark/>
          </w:tcPr>
          <w:p w:rsidR="008D7334" w:rsidRPr="008D7334" w:rsidRDefault="008D7334">
            <w:r w:rsidRPr="008D7334">
              <w:t>Predator</w:t>
            </w:r>
          </w:p>
        </w:tc>
        <w:tc>
          <w:tcPr>
            <w:tcW w:w="1215" w:type="dxa"/>
          </w:tcPr>
          <w:p w:rsidR="008D7334" w:rsidRPr="008D7334" w:rsidRDefault="00487B20">
            <w:r w:rsidRPr="00487B20">
              <w:t>0.9717</w:t>
            </w:r>
          </w:p>
        </w:tc>
      </w:tr>
    </w:tbl>
    <w:p w:rsidR="008D7334" w:rsidRPr="008D7334" w:rsidRDefault="008D7334" w:rsidP="00C91CF3"/>
    <w:p w:rsidR="00C91CF3" w:rsidRDefault="00C91CF3" w:rsidP="00C91CF3"/>
    <w:p w:rsidR="00C91CF3" w:rsidRPr="00C91CF3" w:rsidRDefault="00C91CF3" w:rsidP="00C91CF3">
      <w:pPr>
        <w:rPr>
          <w:b/>
        </w:rPr>
      </w:pPr>
      <w:r w:rsidRPr="00C91CF3">
        <w:rPr>
          <w:b/>
        </w:rPr>
        <w:t>References</w:t>
      </w:r>
    </w:p>
    <w:p w:rsidR="00C91CF3" w:rsidRDefault="00487B20" w:rsidP="00C91CF3">
      <w:proofErr w:type="spellStart"/>
      <w:r w:rsidRPr="00487B20">
        <w:t>Schwarzer</w:t>
      </w:r>
      <w:proofErr w:type="spellEnd"/>
      <w:r w:rsidRPr="00487B20">
        <w:t xml:space="preserve">, G., Carpenter, J. R., &amp; </w:t>
      </w:r>
      <w:proofErr w:type="spellStart"/>
      <w:r w:rsidRPr="00487B20">
        <w:t>Rücker</w:t>
      </w:r>
      <w:proofErr w:type="spellEnd"/>
      <w:r w:rsidRPr="00487B20">
        <w:t>, G. (2015). Meta-analysis with R. Springer.</w:t>
      </w:r>
    </w:p>
    <w:p w:rsidR="00C91CF3" w:rsidRPr="00C91CF3" w:rsidRDefault="00C91CF3" w:rsidP="00C91CF3">
      <w:r>
        <w:t xml:space="preserve">R Core Team (2016). R: A language </w:t>
      </w:r>
      <w:r>
        <w:t xml:space="preserve">and environment for statistical computing. R Foundation for Statistical Computing, Vienna, </w:t>
      </w:r>
      <w:r w:rsidRPr="00C91CF3">
        <w:rPr>
          <w:lang w:val="es-CL"/>
        </w:rPr>
        <w:t>Austria. URL https://www.R-project.org/</w:t>
      </w:r>
    </w:p>
    <w:p w:rsidR="00C91CF3" w:rsidRDefault="00C91CF3" w:rsidP="00C91CF3">
      <w:proofErr w:type="spellStart"/>
      <w:r>
        <w:lastRenderedPageBreak/>
        <w:t>Viechtbauer</w:t>
      </w:r>
      <w:proofErr w:type="spellEnd"/>
      <w:r>
        <w:t>, W. (2010). Conduct</w:t>
      </w:r>
      <w:r>
        <w:t xml:space="preserve">ing meta-analyses in R with the </w:t>
      </w:r>
      <w:proofErr w:type="spellStart"/>
      <w:r>
        <w:t>metafor</w:t>
      </w:r>
      <w:proofErr w:type="spellEnd"/>
      <w:r>
        <w:t xml:space="preserve"> package. Journal of Sta</w:t>
      </w:r>
      <w:r>
        <w:t xml:space="preserve">tistical Software, 36(3), 1-48. </w:t>
      </w:r>
      <w:r>
        <w:t>URL: http://www.jstatsoft.org/v36/i03/</w:t>
      </w:r>
    </w:p>
    <w:sectPr w:rsidR="00C9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F3"/>
    <w:rsid w:val="00487B20"/>
    <w:rsid w:val="005E4B75"/>
    <w:rsid w:val="007A40AD"/>
    <w:rsid w:val="008D7334"/>
    <w:rsid w:val="009F356A"/>
    <w:rsid w:val="00C91CF3"/>
    <w:rsid w:val="00D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0694C-15AF-4B31-9611-4F1E25AC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B909-3835-4622-B60D-71B3E2F1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Corcoran Barrios, Derek A.</dc:creator>
  <cp:keywords/>
  <dc:description/>
  <cp:lastModifiedBy>Corcoran Barrios, Derek A.</cp:lastModifiedBy>
  <cp:revision>1</cp:revision>
  <dcterms:created xsi:type="dcterms:W3CDTF">2017-02-16T21:22:00Z</dcterms:created>
  <dcterms:modified xsi:type="dcterms:W3CDTF">2017-02-16T22:16:00Z</dcterms:modified>
</cp:coreProperties>
</file>