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2213A"/>
          <w:sz w:val="60"/>
        </w:rPr>
        <w:t>Clickable Demo Build Blueprint</w:t>
      </w:r>
    </w:p>
    <w:p>
      <w:pPr>
        <w:jc w:val="center"/>
      </w:pPr>
      <w:r>
        <w:t>Scope-controlled content, screen states, data, and demo narrative</w:t>
      </w:r>
      <w:r>
        <w:rPr>
          <w:color w:val="165DFF"/>
          <w:sz w:val="28"/>
        </w:rPr>
        <w:t>Scope-controlled content, screen states, data, and demo narrative</w:t>
      </w:r>
    </w:p>
    <w:p/>
    <w:tbl>
      <w:tblPr>
        <w:tblW w:type="auto" w:w="0"/>
        <w:jc w:val="center"/>
        <w:tblLayout w:type="fixed"/>
        <w:tblLook w:firstColumn="1" w:firstRow="1" w:lastColumn="0" w:lastRow="0" w:noHBand="0" w:noVBand="1" w:val="04A0"/>
      </w:tblPr>
      <w:tblGrid>
        <w:gridCol w:w="3293"/>
        <w:gridCol w:w="3293"/>
        <w:gridCol w:w="3293"/>
      </w:tblGrid>
      <w:tr>
        <w:tc>
          <w:tcPr>
            <w:tcW w:type="dxa" w:w="2952"/>
            <w:shd w:fill="F3F6FA"/>
            <w:tcMar>
              <w:top w:w="160" w:type="dxa"/>
              <w:start w:w="160" w:type="dxa"/>
              <w:bottom w:w="160" w:type="dxa"/>
              <w:end w:w="160" w:type="dxa"/>
            </w:tcMar>
          </w:tcPr>
          <w:p>
            <w:pPr>
              <w:jc w:val="center"/>
            </w:pPr>
            <w:r>
              <w:rPr>
                <w:b/>
                <w:color w:val="5E6B7A"/>
                <w:sz w:val="16"/>
              </w:rPr>
              <w:t>ARTIFACT</w:t>
              <w:br/>
            </w:r>
            <w:r>
              <w:rPr>
                <w:b/>
                <w:color w:val="12213A"/>
                <w:sz w:val="20"/>
              </w:rPr>
              <w:t>Build blueprint</w:t>
            </w:r>
          </w:p>
        </w:tc>
        <w:tc>
          <w:tcPr>
            <w:tcW w:type="dxa" w:w="2952"/>
            <w:shd w:fill="F3F6FA"/>
            <w:tcMar>
              <w:top w:w="160" w:type="dxa"/>
              <w:start w:w="160" w:type="dxa"/>
              <w:bottom w:w="160" w:type="dxa"/>
              <w:end w:w="160" w:type="dxa"/>
            </w:tcMar>
          </w:tcPr>
          <w:p>
            <w:pPr>
              <w:jc w:val="center"/>
            </w:pPr>
            <w:r>
              <w:rPr>
                <w:b/>
                <w:color w:val="5E6B7A"/>
                <w:sz w:val="16"/>
              </w:rPr>
              <w:t>VERSION</w:t>
              <w:br/>
            </w:r>
            <w:r>
              <w:rPr>
                <w:b/>
                <w:color w:val="12213A"/>
                <w:sz w:val="20"/>
              </w:rPr>
              <w:t>1.0</w:t>
            </w:r>
          </w:p>
        </w:tc>
        <w:tc>
          <w:tcPr>
            <w:tcW w:type="dxa" w:w="2952"/>
            <w:shd w:fill="F3F6FA"/>
            <w:tcMar>
              <w:top w:w="160" w:type="dxa"/>
              <w:start w:w="160" w:type="dxa"/>
              <w:bottom w:w="160" w:type="dxa"/>
              <w:end w:w="160" w:type="dxa"/>
            </w:tcMar>
          </w:tcPr>
          <w:p>
            <w:pPr>
              <w:jc w:val="center"/>
            </w:pPr>
            <w:r>
              <w:rPr>
                <w:b/>
                <w:color w:val="5E6B7A"/>
                <w:sz w:val="16"/>
              </w:rPr>
              <w:t>STATUS</w:t>
              <w:br/>
            </w:r>
            <w:r>
              <w:rPr>
                <w:b/>
                <w:color w:val="12213A"/>
                <w:sz w:val="20"/>
              </w:rPr>
              <w:t>Demo build baseline</w:t>
            </w:r>
          </w:p>
        </w:tc>
      </w:tr>
    </w:tbl>
    <w:p>
      <w:pPr>
        <w:spacing w:before="520"/>
        <w:jc w:val="center"/>
      </w:pPr>
      <w:r>
        <w:rPr>
          <w:i/>
          <w:color w:val="5E6B7A"/>
        </w:rPr>
        <w:t>Generic, non-branded customer intelligence demo</w:t>
      </w:r>
    </w:p>
    <w:p>
      <w:r>
        <w:br w:type="page"/>
      </w:r>
    </w:p>
    <w:p>
      <w:pPr>
        <w:pStyle w:val="Heading1"/>
        <w:keepNext/>
      </w:pPr>
      <w:r>
        <w:t>1. Why this document exists</w:t>
      </w:r>
    </w:p>
    <w:p>
      <w:r>
        <w:t>The PRD defines the product. This blueprint defines the smallest coherent demonstration of it. It combines the screen inventory, scripted data, happy path, and acceptance checklist so the team does not create separate wireframe specifications, data dictionaries, demo scripts, and content matrices before they are needed.</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00A6A6"/>
                <w:sz w:val="16"/>
              </w:rPr>
              <w:t>SCOPE RECOMMENDATION</w:t>
              <w:br/>
            </w:r>
            <w:r>
              <w:rPr>
                <w:b/>
                <w:color w:val="12213A"/>
                <w:sz w:val="20"/>
              </w:rPr>
              <w:t>Build one complete loop deeply, then represent the rest through credible secondary states. The primary loop should be: journey signal -&gt; panel -&gt; study -&gt; activation brief -&gt; predicted vs actual -&gt; approved persona update.</w:t>
            </w:r>
          </w:p>
        </w:tc>
      </w:tr>
    </w:tbl>
    <w:p>
      <w:pPr>
        <w:spacing w:after="20"/>
      </w:pPr>
    </w:p>
    <w:p>
      <w:pPr>
        <w:pStyle w:val="Heading1"/>
        <w:keepNext/>
      </w:pPr>
      <w:r>
        <w:t>2. Recommended package and what not to add</w:t>
      </w:r>
    </w:p>
    <w:tbl>
      <w:tblPr>
        <w:tblStyle w:val="TableGrid"/>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232"/>
            <w:shd w:fill="12213A"/>
            <w:tcMar>
              <w:top w:w="100" w:type="dxa"/>
              <w:start w:w="120" w:type="dxa"/>
              <w:bottom w:w="100" w:type="dxa"/>
              <w:end w:w="120" w:type="dxa"/>
            </w:tcMar>
            <w:vAlign w:val="center"/>
          </w:tcPr>
          <w:p>
            <w:pPr>
              <w:jc w:val="left"/>
            </w:pPr>
            <w:r>
              <w:rPr>
                <w:b/>
                <w:color w:val="FFFFFF"/>
                <w:sz w:val="16"/>
              </w:rPr>
              <w:t>Artifact</w:t>
            </w:r>
          </w:p>
        </w:tc>
        <w:tc>
          <w:tcPr>
            <w:tcW w:type="dxa" w:w="5328"/>
            <w:shd w:fill="12213A"/>
            <w:tcMar>
              <w:top w:w="100" w:type="dxa"/>
              <w:start w:w="120" w:type="dxa"/>
              <w:bottom w:w="100" w:type="dxa"/>
              <w:end w:w="120" w:type="dxa"/>
            </w:tcMar>
            <w:vAlign w:val="center"/>
          </w:tcPr>
          <w:p>
            <w:pPr>
              <w:jc w:val="left"/>
            </w:pPr>
            <w:r>
              <w:rPr>
                <w:b/>
                <w:color w:val="FFFFFF"/>
                <w:sz w:val="16"/>
              </w:rPr>
              <w:t>Why it is needed</w:t>
            </w:r>
          </w:p>
        </w:tc>
        <w:tc>
          <w:tcPr>
            <w:tcW w:type="dxa" w:w="1584"/>
            <w:shd w:fill="12213A"/>
            <w:tcMar>
              <w:top w:w="100" w:type="dxa"/>
              <w:start w:w="120" w:type="dxa"/>
              <w:bottom w:w="100" w:type="dxa"/>
              <w:end w:w="120" w:type="dxa"/>
            </w:tcMar>
            <w:vAlign w:val="center"/>
          </w:tcPr>
          <w:p>
            <w:pPr>
              <w:jc w:val="left"/>
            </w:pPr>
            <w:r>
              <w:rPr>
                <w:b/>
                <w:color w:val="FFFFFF"/>
                <w:sz w:val="16"/>
              </w:rPr>
              <w:t>Decision</w:t>
            </w:r>
          </w:p>
        </w:tc>
      </w:tr>
      <w:tr>
        <w:tc>
          <w:tcPr>
            <w:tcW w:type="dxa" w:w="2232"/>
            <w:tcMar>
              <w:top w:w="100" w:type="dxa"/>
              <w:start w:w="120" w:type="dxa"/>
              <w:bottom w:w="100" w:type="dxa"/>
              <w:end w:w="120" w:type="dxa"/>
            </w:tcMar>
            <w:vAlign w:val="center"/>
          </w:tcPr>
          <w:p>
            <w:pPr>
              <w:spacing w:after="0"/>
            </w:pPr>
            <w:r>
              <w:rPr>
                <w:sz w:val="16"/>
              </w:rPr>
              <w:t>PRD</w:t>
            </w:r>
          </w:p>
        </w:tc>
        <w:tc>
          <w:tcPr>
            <w:tcW w:type="dxa" w:w="5328"/>
            <w:tcMar>
              <w:top w:w="100" w:type="dxa"/>
              <w:start w:w="120" w:type="dxa"/>
              <w:bottom w:w="100" w:type="dxa"/>
              <w:end w:w="120" w:type="dxa"/>
            </w:tcMar>
            <w:vAlign w:val="center"/>
          </w:tcPr>
          <w:p>
            <w:pPr>
              <w:spacing w:after="0"/>
            </w:pPr>
            <w:r>
              <w:rPr>
                <w:sz w:val="16"/>
              </w:rPr>
              <w:t>Defines scope, requirements, and success</w:t>
            </w:r>
          </w:p>
        </w:tc>
        <w:tc>
          <w:tcPr>
            <w:tcW w:type="dxa" w:w="1584"/>
            <w:tcMar>
              <w:top w:w="100" w:type="dxa"/>
              <w:start w:w="120" w:type="dxa"/>
              <w:bottom w:w="100" w:type="dxa"/>
              <w:end w:w="120" w:type="dxa"/>
            </w:tcMar>
            <w:vAlign w:val="center"/>
          </w:tcPr>
          <w:p>
            <w:pPr>
              <w:spacing w:after="0"/>
            </w:pPr>
            <w:r>
              <w:rPr>
                <w:sz w:val="16"/>
              </w:rPr>
              <w:t>Create now</w:t>
            </w:r>
          </w:p>
        </w:tc>
      </w:tr>
      <w:tr>
        <w:tc>
          <w:tcPr>
            <w:tcW w:type="dxa" w:w="2232"/>
            <w:shd w:fill="F8FAFC"/>
            <w:tcMar>
              <w:top w:w="100" w:type="dxa"/>
              <w:start w:w="120" w:type="dxa"/>
              <w:bottom w:w="100" w:type="dxa"/>
              <w:end w:w="120" w:type="dxa"/>
            </w:tcMar>
            <w:vAlign w:val="center"/>
          </w:tcPr>
          <w:p>
            <w:pPr>
              <w:spacing w:after="0"/>
            </w:pPr>
            <w:r>
              <w:rPr>
                <w:sz w:val="16"/>
              </w:rPr>
              <w:t>Platform user personas</w:t>
            </w:r>
          </w:p>
        </w:tc>
        <w:tc>
          <w:tcPr>
            <w:tcW w:type="dxa" w:w="5328"/>
            <w:shd w:fill="F8FAFC"/>
            <w:tcMar>
              <w:top w:w="100" w:type="dxa"/>
              <w:start w:w="120" w:type="dxa"/>
              <w:bottom w:w="100" w:type="dxa"/>
              <w:end w:w="120" w:type="dxa"/>
            </w:tcMar>
            <w:vAlign w:val="center"/>
          </w:tcPr>
          <w:p>
            <w:pPr>
              <w:spacing w:after="0"/>
            </w:pPr>
            <w:r>
              <w:rPr>
                <w:sz w:val="16"/>
              </w:rPr>
              <w:t>Prioritizes workflows and language</w:t>
            </w:r>
          </w:p>
        </w:tc>
        <w:tc>
          <w:tcPr>
            <w:tcW w:type="dxa" w:w="1584"/>
            <w:shd w:fill="F8FAFC"/>
            <w:tcMar>
              <w:top w:w="100" w:type="dxa"/>
              <w:start w:w="120" w:type="dxa"/>
              <w:bottom w:w="100" w:type="dxa"/>
              <w:end w:w="120" w:type="dxa"/>
            </w:tcMar>
            <w:vAlign w:val="center"/>
          </w:tcPr>
          <w:p>
            <w:pPr>
              <w:spacing w:after="0"/>
            </w:pPr>
            <w:r>
              <w:rPr>
                <w:sz w:val="16"/>
              </w:rPr>
              <w:t>Create now</w:t>
            </w:r>
          </w:p>
        </w:tc>
      </w:tr>
      <w:tr>
        <w:tc>
          <w:tcPr>
            <w:tcW w:type="dxa" w:w="2232"/>
            <w:tcMar>
              <w:top w:w="100" w:type="dxa"/>
              <w:start w:w="120" w:type="dxa"/>
              <w:bottom w:w="100" w:type="dxa"/>
              <w:end w:w="120" w:type="dxa"/>
            </w:tcMar>
            <w:vAlign w:val="center"/>
          </w:tcPr>
          <w:p>
            <w:pPr>
              <w:spacing w:after="0"/>
            </w:pPr>
            <w:r>
              <w:rPr>
                <w:sz w:val="16"/>
              </w:rPr>
              <w:t>Synthetic customer personas</w:t>
            </w:r>
          </w:p>
        </w:tc>
        <w:tc>
          <w:tcPr>
            <w:tcW w:type="dxa" w:w="5328"/>
            <w:tcMar>
              <w:top w:w="100" w:type="dxa"/>
              <w:start w:w="120" w:type="dxa"/>
              <w:bottom w:w="100" w:type="dxa"/>
              <w:end w:w="120" w:type="dxa"/>
            </w:tcMar>
            <w:vAlign w:val="center"/>
          </w:tcPr>
          <w:p>
            <w:pPr>
              <w:spacing w:after="0"/>
            </w:pPr>
            <w:r>
              <w:rPr>
                <w:sz w:val="16"/>
              </w:rPr>
              <w:t>Provides coherent demo actors and response logic</w:t>
            </w:r>
          </w:p>
        </w:tc>
        <w:tc>
          <w:tcPr>
            <w:tcW w:type="dxa" w:w="1584"/>
            <w:tcMar>
              <w:top w:w="100" w:type="dxa"/>
              <w:start w:w="120" w:type="dxa"/>
              <w:bottom w:w="100" w:type="dxa"/>
              <w:end w:w="120" w:type="dxa"/>
            </w:tcMar>
            <w:vAlign w:val="center"/>
          </w:tcPr>
          <w:p>
            <w:pPr>
              <w:spacing w:after="0"/>
            </w:pPr>
            <w:r>
              <w:rPr>
                <w:sz w:val="16"/>
              </w:rPr>
              <w:t>Create now</w:t>
            </w:r>
          </w:p>
        </w:tc>
      </w:tr>
      <w:tr>
        <w:tc>
          <w:tcPr>
            <w:tcW w:type="dxa" w:w="2232"/>
            <w:shd w:fill="F8FAFC"/>
            <w:tcMar>
              <w:top w:w="100" w:type="dxa"/>
              <w:start w:w="120" w:type="dxa"/>
              <w:bottom w:w="100" w:type="dxa"/>
              <w:end w:w="120" w:type="dxa"/>
            </w:tcMar>
            <w:vAlign w:val="center"/>
          </w:tcPr>
          <w:p>
            <w:pPr>
              <w:spacing w:after="0"/>
            </w:pPr>
            <w:r>
              <w:rPr>
                <w:sz w:val="16"/>
              </w:rPr>
              <w:t>Build blueprint</w:t>
            </w:r>
          </w:p>
        </w:tc>
        <w:tc>
          <w:tcPr>
            <w:tcW w:type="dxa" w:w="5328"/>
            <w:shd w:fill="F8FAFC"/>
            <w:tcMar>
              <w:top w:w="100" w:type="dxa"/>
              <w:start w:w="120" w:type="dxa"/>
              <w:bottom w:w="100" w:type="dxa"/>
              <w:end w:w="120" w:type="dxa"/>
            </w:tcMar>
            <w:vAlign w:val="center"/>
          </w:tcPr>
          <w:p>
            <w:pPr>
              <w:spacing w:after="0"/>
            </w:pPr>
            <w:r>
              <w:rPr>
                <w:sz w:val="16"/>
              </w:rPr>
              <w:t>Combines IA, states, demo script, and sample data</w:t>
            </w:r>
          </w:p>
        </w:tc>
        <w:tc>
          <w:tcPr>
            <w:tcW w:type="dxa" w:w="1584"/>
            <w:shd w:fill="F8FAFC"/>
            <w:tcMar>
              <w:top w:w="100" w:type="dxa"/>
              <w:start w:w="120" w:type="dxa"/>
              <w:bottom w:w="100" w:type="dxa"/>
              <w:end w:w="120" w:type="dxa"/>
            </w:tcMar>
            <w:vAlign w:val="center"/>
          </w:tcPr>
          <w:p>
            <w:pPr>
              <w:spacing w:after="0"/>
            </w:pPr>
            <w:r>
              <w:rPr>
                <w:sz w:val="16"/>
              </w:rPr>
              <w:t>Create now</w:t>
            </w:r>
          </w:p>
        </w:tc>
      </w:tr>
      <w:tr>
        <w:tc>
          <w:tcPr>
            <w:tcW w:type="dxa" w:w="2232"/>
            <w:tcMar>
              <w:top w:w="100" w:type="dxa"/>
              <w:start w:w="120" w:type="dxa"/>
              <w:bottom w:w="100" w:type="dxa"/>
              <w:end w:w="120" w:type="dxa"/>
            </w:tcMar>
            <w:vAlign w:val="center"/>
          </w:tcPr>
          <w:p>
            <w:pPr>
              <w:spacing w:after="0"/>
            </w:pPr>
            <w:r>
              <w:rPr>
                <w:sz w:val="16"/>
              </w:rPr>
              <w:t>Full technical architecture</w:t>
            </w:r>
          </w:p>
        </w:tc>
        <w:tc>
          <w:tcPr>
            <w:tcW w:type="dxa" w:w="5328"/>
            <w:tcMar>
              <w:top w:w="100" w:type="dxa"/>
              <w:start w:w="120" w:type="dxa"/>
              <w:bottom w:w="100" w:type="dxa"/>
              <w:end w:w="120" w:type="dxa"/>
            </w:tcMar>
            <w:vAlign w:val="center"/>
          </w:tcPr>
          <w:p>
            <w:pPr>
              <w:spacing w:after="0"/>
            </w:pPr>
            <w:r>
              <w:rPr>
                <w:sz w:val="16"/>
              </w:rPr>
              <w:t>Not required for a clickable prototype</w:t>
            </w:r>
          </w:p>
        </w:tc>
        <w:tc>
          <w:tcPr>
            <w:tcW w:type="dxa" w:w="1584"/>
            <w:tcMar>
              <w:top w:w="100" w:type="dxa"/>
              <w:start w:w="120" w:type="dxa"/>
              <w:bottom w:w="100" w:type="dxa"/>
              <w:end w:w="120" w:type="dxa"/>
            </w:tcMar>
            <w:vAlign w:val="center"/>
          </w:tcPr>
          <w:p>
            <w:pPr>
              <w:spacing w:after="0"/>
            </w:pPr>
            <w:r>
              <w:rPr>
                <w:sz w:val="16"/>
              </w:rPr>
              <w:t>Defer</w:t>
            </w:r>
          </w:p>
        </w:tc>
      </w:tr>
      <w:tr>
        <w:tc>
          <w:tcPr>
            <w:tcW w:type="dxa" w:w="2232"/>
            <w:shd w:fill="F8FAFC"/>
            <w:tcMar>
              <w:top w:w="100" w:type="dxa"/>
              <w:start w:w="120" w:type="dxa"/>
              <w:bottom w:w="100" w:type="dxa"/>
              <w:end w:w="120" w:type="dxa"/>
            </w:tcMar>
            <w:vAlign w:val="center"/>
          </w:tcPr>
          <w:p>
            <w:pPr>
              <w:spacing w:after="0"/>
            </w:pPr>
            <w:r>
              <w:rPr>
                <w:sz w:val="16"/>
              </w:rPr>
              <w:t>Detailed API specification</w:t>
            </w:r>
          </w:p>
        </w:tc>
        <w:tc>
          <w:tcPr>
            <w:tcW w:type="dxa" w:w="5328"/>
            <w:shd w:fill="F8FAFC"/>
            <w:tcMar>
              <w:top w:w="100" w:type="dxa"/>
              <w:start w:w="120" w:type="dxa"/>
              <w:bottom w:w="100" w:type="dxa"/>
              <w:end w:w="120" w:type="dxa"/>
            </w:tcMar>
            <w:vAlign w:val="center"/>
          </w:tcPr>
          <w:p>
            <w:pPr>
              <w:spacing w:after="0"/>
            </w:pPr>
            <w:r>
              <w:rPr>
                <w:sz w:val="16"/>
              </w:rPr>
              <w:t>No live integrations in MVP</w:t>
            </w:r>
          </w:p>
        </w:tc>
        <w:tc>
          <w:tcPr>
            <w:tcW w:type="dxa" w:w="1584"/>
            <w:shd w:fill="F8FAFC"/>
            <w:tcMar>
              <w:top w:w="100" w:type="dxa"/>
              <w:start w:w="120" w:type="dxa"/>
              <w:bottom w:w="100" w:type="dxa"/>
              <w:end w:w="120" w:type="dxa"/>
            </w:tcMar>
            <w:vAlign w:val="center"/>
          </w:tcPr>
          <w:p>
            <w:pPr>
              <w:spacing w:after="0"/>
            </w:pPr>
            <w:r>
              <w:rPr>
                <w:sz w:val="16"/>
              </w:rPr>
              <w:t>Defer</w:t>
            </w:r>
          </w:p>
        </w:tc>
      </w:tr>
      <w:tr>
        <w:tc>
          <w:tcPr>
            <w:tcW w:type="dxa" w:w="2232"/>
            <w:tcMar>
              <w:top w:w="100" w:type="dxa"/>
              <w:start w:w="120" w:type="dxa"/>
              <w:bottom w:w="100" w:type="dxa"/>
              <w:end w:w="120" w:type="dxa"/>
            </w:tcMar>
            <w:vAlign w:val="center"/>
          </w:tcPr>
          <w:p>
            <w:pPr>
              <w:spacing w:after="0"/>
            </w:pPr>
            <w:r>
              <w:rPr>
                <w:sz w:val="16"/>
              </w:rPr>
              <w:t>Separate design system</w:t>
            </w:r>
          </w:p>
        </w:tc>
        <w:tc>
          <w:tcPr>
            <w:tcW w:type="dxa" w:w="5328"/>
            <w:tcMar>
              <w:top w:w="100" w:type="dxa"/>
              <w:start w:w="120" w:type="dxa"/>
              <w:bottom w:w="100" w:type="dxa"/>
              <w:end w:w="120" w:type="dxa"/>
            </w:tcMar>
            <w:vAlign w:val="center"/>
          </w:tcPr>
          <w:p>
            <w:pPr>
              <w:spacing w:after="0"/>
            </w:pPr>
            <w:r>
              <w:rPr>
                <w:sz w:val="16"/>
              </w:rPr>
              <w:t>Use a compact component palette inside the prototype</w:t>
            </w:r>
          </w:p>
        </w:tc>
        <w:tc>
          <w:tcPr>
            <w:tcW w:type="dxa" w:w="1584"/>
            <w:tcMar>
              <w:top w:w="100" w:type="dxa"/>
              <w:start w:w="120" w:type="dxa"/>
              <w:bottom w:w="100" w:type="dxa"/>
              <w:end w:w="120" w:type="dxa"/>
            </w:tcMar>
            <w:vAlign w:val="center"/>
          </w:tcPr>
          <w:p>
            <w:pPr>
              <w:spacing w:after="0"/>
            </w:pPr>
            <w:r>
              <w:rPr>
                <w:sz w:val="16"/>
              </w:rPr>
              <w:t>Defer</w:t>
            </w:r>
          </w:p>
        </w:tc>
      </w:tr>
      <w:tr>
        <w:tc>
          <w:tcPr>
            <w:tcW w:type="dxa" w:w="2232"/>
            <w:shd w:fill="F8FAFC"/>
            <w:tcMar>
              <w:top w:w="100" w:type="dxa"/>
              <w:start w:w="120" w:type="dxa"/>
              <w:bottom w:w="100" w:type="dxa"/>
              <w:end w:w="120" w:type="dxa"/>
            </w:tcMar>
            <w:vAlign w:val="center"/>
          </w:tcPr>
          <w:p>
            <w:pPr>
              <w:spacing w:after="0"/>
            </w:pPr>
            <w:r>
              <w:rPr>
                <w:sz w:val="16"/>
              </w:rPr>
              <w:t>Formal research protocol</w:t>
            </w:r>
          </w:p>
        </w:tc>
        <w:tc>
          <w:tcPr>
            <w:tcW w:type="dxa" w:w="5328"/>
            <w:shd w:fill="F8FAFC"/>
            <w:tcMar>
              <w:top w:w="100" w:type="dxa"/>
              <w:start w:w="120" w:type="dxa"/>
              <w:bottom w:w="100" w:type="dxa"/>
              <w:end w:w="120" w:type="dxa"/>
            </w:tcMar>
            <w:vAlign w:val="center"/>
          </w:tcPr>
          <w:p>
            <w:pPr>
              <w:spacing w:after="0"/>
            </w:pPr>
            <w:r>
              <w:rPr>
                <w:sz w:val="16"/>
              </w:rPr>
              <w:t>Only needed if synthetic studies become real validation</w:t>
            </w:r>
          </w:p>
        </w:tc>
        <w:tc>
          <w:tcPr>
            <w:tcW w:type="dxa" w:w="1584"/>
            <w:shd w:fill="F8FAFC"/>
            <w:tcMar>
              <w:top w:w="100" w:type="dxa"/>
              <w:start w:w="120" w:type="dxa"/>
              <w:bottom w:w="100" w:type="dxa"/>
              <w:end w:w="120" w:type="dxa"/>
            </w:tcMar>
            <w:vAlign w:val="center"/>
          </w:tcPr>
          <w:p>
            <w:pPr>
              <w:spacing w:after="0"/>
            </w:pPr>
            <w:r>
              <w:rPr>
                <w:sz w:val="16"/>
              </w:rPr>
              <w:t>Defer</w:t>
            </w:r>
          </w:p>
        </w:tc>
      </w:tr>
      <w:tr>
        <w:tc>
          <w:tcPr>
            <w:tcW w:type="dxa" w:w="2232"/>
            <w:tcMar>
              <w:top w:w="100" w:type="dxa"/>
              <w:start w:w="120" w:type="dxa"/>
              <w:bottom w:w="100" w:type="dxa"/>
              <w:end w:w="120" w:type="dxa"/>
            </w:tcMar>
            <w:vAlign w:val="center"/>
          </w:tcPr>
          <w:p>
            <w:pPr>
              <w:spacing w:after="0"/>
            </w:pPr>
            <w:r>
              <w:rPr>
                <w:sz w:val="16"/>
              </w:rPr>
              <w:t>Operating model / RACI</w:t>
            </w:r>
          </w:p>
        </w:tc>
        <w:tc>
          <w:tcPr>
            <w:tcW w:type="dxa" w:w="5328"/>
            <w:tcMar>
              <w:top w:w="100" w:type="dxa"/>
              <w:start w:w="120" w:type="dxa"/>
              <w:bottom w:w="100" w:type="dxa"/>
              <w:end w:w="120" w:type="dxa"/>
            </w:tcMar>
            <w:vAlign w:val="center"/>
          </w:tcPr>
          <w:p>
            <w:pPr>
              <w:spacing w:after="0"/>
            </w:pPr>
            <w:r>
              <w:rPr>
                <w:sz w:val="16"/>
              </w:rPr>
              <w:t>Too early for a demo build</w:t>
            </w:r>
          </w:p>
        </w:tc>
        <w:tc>
          <w:tcPr>
            <w:tcW w:type="dxa" w:w="1584"/>
            <w:tcMar>
              <w:top w:w="100" w:type="dxa"/>
              <w:start w:w="120" w:type="dxa"/>
              <w:bottom w:w="100" w:type="dxa"/>
              <w:end w:w="120" w:type="dxa"/>
            </w:tcMar>
            <w:vAlign w:val="center"/>
          </w:tcPr>
          <w:p>
            <w:pPr>
              <w:spacing w:after="0"/>
            </w:pPr>
            <w:r>
              <w:rPr>
                <w:sz w:val="16"/>
              </w:rPr>
              <w:t>Defer</w:t>
            </w:r>
          </w:p>
        </w:tc>
      </w:tr>
    </w:tbl>
    <w:p>
      <w:pPr>
        <w:spacing w:after="20"/>
      </w:pPr>
    </w:p>
    <w:p>
      <w:pPr>
        <w:pStyle w:val="Heading1"/>
        <w:keepNext/>
      </w:pPr>
      <w:r>
        <w:t>3. Fictional demo scenario</w:t>
      </w:r>
    </w:p>
    <w:p>
      <w:r>
        <w:t>A generic company is improving the digital decision journey for a new service bundle. A real-time journey alert shows that customers are pausing at the plan-comparison moment. The team wants to test two message approaches before a broader campaign: "More control" versus "Everything made simple."</w:t>
      </w:r>
    </w:p>
    <w:p>
      <w:pPr>
        <w:pStyle w:val="Heading2"/>
        <w:keepNext/>
      </w:pPr>
      <w:r>
        <w:t>3.1 Scripted hypothesis</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6E44FF"/>
                <w:sz w:val="16"/>
              </w:rPr>
              <w:t>HYPOTHESIS</w:t>
              <w:br/>
            </w:r>
            <w:r>
              <w:rPr>
                <w:b/>
                <w:color w:val="12213A"/>
                <w:sz w:val="20"/>
              </w:rPr>
              <w:t>Customers with high need for control will prefer the Control message, while time-poor and reassurance-oriented customers will prefer the Simplicity message. A transparent comparison should outperform either message alone for evidence-driven and value-focused audiences.</w:t>
            </w:r>
          </w:p>
        </w:tc>
      </w:tr>
    </w:tbl>
    <w:p>
      <w:pPr>
        <w:spacing w:after="20"/>
      </w:pPr>
    </w:p>
    <w:p>
      <w:pPr>
        <w:pStyle w:val="Heading2"/>
        <w:keepNext/>
      </w:pPr>
      <w:r>
        <w:t>3.2 Scripted outcome</w:t>
      </w:r>
    </w:p>
    <w:p>
      <w:r>
        <w:t>The study recommends a segmented treatment: Control for Avery, Guided Simplicity for Riley and Quinn, Transparent Value for Morgan and Taylor, and Effortless Continuity for Cameron. The campaign simulation predicts stronger completion than the current generic message. Actual results later support most of the prediction but show that Taylor responded better than expected when the message included source transparency. The system proposes a small increase in Taylor's responsiveness to evidence-backed personalization, which the steward approves.</w:t>
      </w:r>
    </w:p>
    <w:p>
      <w:pPr>
        <w:pStyle w:val="Heading1"/>
        <w:keepNext/>
      </w:pPr>
      <w:r>
        <w:t>4. Happy-path demo script</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720"/>
            <w:shd w:fill="12213A"/>
            <w:tcMar>
              <w:top w:w="100" w:type="dxa"/>
              <w:start w:w="120" w:type="dxa"/>
              <w:bottom w:w="100" w:type="dxa"/>
              <w:end w:w="120" w:type="dxa"/>
            </w:tcMar>
            <w:vAlign w:val="center"/>
          </w:tcPr>
          <w:p>
            <w:pPr>
              <w:jc w:val="left"/>
            </w:pPr>
            <w:r>
              <w:rPr>
                <w:b/>
                <w:color w:val="FFFFFF"/>
                <w:sz w:val="16"/>
              </w:rPr>
              <w:t>Step</w:t>
            </w:r>
          </w:p>
        </w:tc>
        <w:tc>
          <w:tcPr>
            <w:tcW w:type="dxa" w:w="1656"/>
            <w:shd w:fill="12213A"/>
            <w:tcMar>
              <w:top w:w="100" w:type="dxa"/>
              <w:start w:w="120" w:type="dxa"/>
              <w:bottom w:w="100" w:type="dxa"/>
              <w:end w:w="120" w:type="dxa"/>
            </w:tcMar>
            <w:vAlign w:val="center"/>
          </w:tcPr>
          <w:p>
            <w:pPr>
              <w:jc w:val="left"/>
            </w:pPr>
            <w:r>
              <w:rPr>
                <w:b/>
                <w:color w:val="FFFFFF"/>
                <w:sz w:val="16"/>
              </w:rPr>
              <w:t>Screen</w:t>
            </w:r>
          </w:p>
        </w:tc>
        <w:tc>
          <w:tcPr>
            <w:tcW w:type="dxa" w:w="4320"/>
            <w:shd w:fill="12213A"/>
            <w:tcMar>
              <w:top w:w="100" w:type="dxa"/>
              <w:start w:w="120" w:type="dxa"/>
              <w:bottom w:w="100" w:type="dxa"/>
              <w:end w:w="120" w:type="dxa"/>
            </w:tcMar>
            <w:vAlign w:val="center"/>
          </w:tcPr>
          <w:p>
            <w:pPr>
              <w:jc w:val="left"/>
            </w:pPr>
            <w:r>
              <w:rPr>
                <w:b/>
                <w:color w:val="FFFFFF"/>
                <w:sz w:val="16"/>
              </w:rPr>
              <w:t>Demo action</w:t>
            </w:r>
          </w:p>
        </w:tc>
        <w:tc>
          <w:tcPr>
            <w:tcW w:type="dxa" w:w="2880"/>
            <w:shd w:fill="12213A"/>
            <w:tcMar>
              <w:top w:w="100" w:type="dxa"/>
              <w:start w:w="120" w:type="dxa"/>
              <w:bottom w:w="100" w:type="dxa"/>
              <w:end w:w="120" w:type="dxa"/>
            </w:tcMar>
            <w:vAlign w:val="center"/>
          </w:tcPr>
          <w:p>
            <w:pPr>
              <w:jc w:val="left"/>
            </w:pPr>
            <w:r>
              <w:rPr>
                <w:b/>
                <w:color w:val="FFFFFF"/>
                <w:sz w:val="16"/>
              </w:rPr>
              <w:t>Story point</w:t>
            </w:r>
          </w:p>
        </w:tc>
      </w:tr>
      <w:tr>
        <w:tc>
          <w:tcPr>
            <w:tcW w:type="dxa" w:w="720"/>
            <w:tcMar>
              <w:top w:w="100" w:type="dxa"/>
              <w:start w:w="120" w:type="dxa"/>
              <w:bottom w:w="100" w:type="dxa"/>
              <w:end w:w="120" w:type="dxa"/>
            </w:tcMar>
            <w:vAlign w:val="center"/>
          </w:tcPr>
          <w:p>
            <w:pPr>
              <w:spacing w:after="0"/>
            </w:pPr>
            <w:r>
              <w:rPr>
                <w:sz w:val="16"/>
              </w:rPr>
              <w:t>1</w:t>
            </w:r>
          </w:p>
        </w:tc>
        <w:tc>
          <w:tcPr>
            <w:tcW w:type="dxa" w:w="1656"/>
            <w:tcMar>
              <w:top w:w="100" w:type="dxa"/>
              <w:start w:w="120" w:type="dxa"/>
              <w:bottom w:w="100" w:type="dxa"/>
              <w:end w:w="120" w:type="dxa"/>
            </w:tcMar>
            <w:vAlign w:val="center"/>
          </w:tcPr>
          <w:p>
            <w:pPr>
              <w:spacing w:after="0"/>
            </w:pPr>
            <w:r>
              <w:rPr>
                <w:sz w:val="16"/>
              </w:rPr>
              <w:t>Home</w:t>
            </w:r>
          </w:p>
        </w:tc>
        <w:tc>
          <w:tcPr>
            <w:tcW w:type="dxa" w:w="4320"/>
            <w:tcMar>
              <w:top w:w="100" w:type="dxa"/>
              <w:start w:w="120" w:type="dxa"/>
              <w:bottom w:w="100" w:type="dxa"/>
              <w:end w:w="120" w:type="dxa"/>
            </w:tcMar>
            <w:vAlign w:val="center"/>
          </w:tcPr>
          <w:p>
            <w:pPr>
              <w:spacing w:after="0"/>
            </w:pPr>
            <w:r>
              <w:rPr>
                <w:sz w:val="16"/>
              </w:rPr>
              <w:t>Open an alert: "Comparison-step hesitation is rising."</w:t>
            </w:r>
          </w:p>
        </w:tc>
        <w:tc>
          <w:tcPr>
            <w:tcW w:type="dxa" w:w="2880"/>
            <w:tcMar>
              <w:top w:w="100" w:type="dxa"/>
              <w:start w:w="120" w:type="dxa"/>
              <w:bottom w:w="100" w:type="dxa"/>
              <w:end w:w="120" w:type="dxa"/>
            </w:tcMar>
            <w:vAlign w:val="center"/>
          </w:tcPr>
          <w:p>
            <w:pPr>
              <w:spacing w:after="0"/>
            </w:pPr>
            <w:r>
              <w:rPr>
                <w:sz w:val="16"/>
              </w:rPr>
              <w:t>Establish always-on signals and business urgency.</w:t>
            </w:r>
          </w:p>
        </w:tc>
      </w:tr>
      <w:tr>
        <w:tc>
          <w:tcPr>
            <w:tcW w:type="dxa" w:w="720"/>
            <w:shd w:fill="F8FAFC"/>
            <w:tcMar>
              <w:top w:w="100" w:type="dxa"/>
              <w:start w:w="120" w:type="dxa"/>
              <w:bottom w:w="100" w:type="dxa"/>
              <w:end w:w="120" w:type="dxa"/>
            </w:tcMar>
            <w:vAlign w:val="center"/>
          </w:tcPr>
          <w:p>
            <w:pPr>
              <w:spacing w:after="0"/>
            </w:pPr>
            <w:r>
              <w:rPr>
                <w:sz w:val="16"/>
              </w:rPr>
              <w:t>2</w:t>
            </w:r>
          </w:p>
        </w:tc>
        <w:tc>
          <w:tcPr>
            <w:tcW w:type="dxa" w:w="1656"/>
            <w:shd w:fill="F8FAFC"/>
            <w:tcMar>
              <w:top w:w="100" w:type="dxa"/>
              <w:start w:w="120" w:type="dxa"/>
              <w:bottom w:w="100" w:type="dxa"/>
              <w:end w:w="120" w:type="dxa"/>
            </w:tcMar>
            <w:vAlign w:val="center"/>
          </w:tcPr>
          <w:p>
            <w:pPr>
              <w:spacing w:after="0"/>
            </w:pPr>
            <w:r>
              <w:rPr>
                <w:sz w:val="16"/>
              </w:rPr>
              <w:t>Journey moment</w:t>
            </w:r>
          </w:p>
        </w:tc>
        <w:tc>
          <w:tcPr>
            <w:tcW w:type="dxa" w:w="4320"/>
            <w:shd w:fill="F8FAFC"/>
            <w:tcMar>
              <w:top w:w="100" w:type="dxa"/>
              <w:start w:w="120" w:type="dxa"/>
              <w:bottom w:w="100" w:type="dxa"/>
              <w:end w:w="120" w:type="dxa"/>
            </w:tcMar>
            <w:vAlign w:val="center"/>
          </w:tcPr>
          <w:p>
            <w:pPr>
              <w:spacing w:after="0"/>
            </w:pPr>
            <w:r>
              <w:rPr>
                <w:sz w:val="16"/>
              </w:rPr>
              <w:t>Compare hesitation by persona and inspect likely drivers.</w:t>
            </w:r>
          </w:p>
        </w:tc>
        <w:tc>
          <w:tcPr>
            <w:tcW w:type="dxa" w:w="2880"/>
            <w:shd w:fill="F8FAFC"/>
            <w:tcMar>
              <w:top w:w="100" w:type="dxa"/>
              <w:start w:w="120" w:type="dxa"/>
              <w:bottom w:w="100" w:type="dxa"/>
              <w:end w:w="120" w:type="dxa"/>
            </w:tcMar>
            <w:vAlign w:val="center"/>
          </w:tcPr>
          <w:p>
            <w:pPr>
              <w:spacing w:after="0"/>
            </w:pPr>
            <w:r>
              <w:rPr>
                <w:sz w:val="16"/>
              </w:rPr>
              <w:t>Connect observed behavior to interpretable customer needs.</w:t>
            </w:r>
          </w:p>
        </w:tc>
      </w:tr>
      <w:tr>
        <w:tc>
          <w:tcPr>
            <w:tcW w:type="dxa" w:w="720"/>
            <w:tcMar>
              <w:top w:w="100" w:type="dxa"/>
              <w:start w:w="120" w:type="dxa"/>
              <w:bottom w:w="100" w:type="dxa"/>
              <w:end w:w="120" w:type="dxa"/>
            </w:tcMar>
            <w:vAlign w:val="center"/>
          </w:tcPr>
          <w:p>
            <w:pPr>
              <w:spacing w:after="0"/>
            </w:pPr>
            <w:r>
              <w:rPr>
                <w:sz w:val="16"/>
              </w:rPr>
              <w:t>3</w:t>
            </w:r>
          </w:p>
        </w:tc>
        <w:tc>
          <w:tcPr>
            <w:tcW w:type="dxa" w:w="1656"/>
            <w:tcMar>
              <w:top w:w="100" w:type="dxa"/>
              <w:start w:w="120" w:type="dxa"/>
              <w:bottom w:w="100" w:type="dxa"/>
              <w:end w:w="120" w:type="dxa"/>
            </w:tcMar>
            <w:vAlign w:val="center"/>
          </w:tcPr>
          <w:p>
            <w:pPr>
              <w:spacing w:after="0"/>
            </w:pPr>
            <w:r>
              <w:rPr>
                <w:sz w:val="16"/>
              </w:rPr>
              <w:t>Panel</w:t>
            </w:r>
          </w:p>
        </w:tc>
        <w:tc>
          <w:tcPr>
            <w:tcW w:type="dxa" w:w="4320"/>
            <w:tcMar>
              <w:top w:w="100" w:type="dxa"/>
              <w:start w:w="120" w:type="dxa"/>
              <w:bottom w:w="100" w:type="dxa"/>
              <w:end w:w="120" w:type="dxa"/>
            </w:tcMar>
            <w:vAlign w:val="center"/>
          </w:tcPr>
          <w:p>
            <w:pPr>
              <w:spacing w:after="0"/>
            </w:pPr>
            <w:r>
              <w:rPr>
                <w:sz w:val="16"/>
              </w:rPr>
              <w:t>Ask: "Which message would help you continue?"</w:t>
            </w:r>
          </w:p>
        </w:tc>
        <w:tc>
          <w:tcPr>
            <w:tcW w:type="dxa" w:w="2880"/>
            <w:tcMar>
              <w:top w:w="100" w:type="dxa"/>
              <w:start w:w="120" w:type="dxa"/>
              <w:bottom w:w="100" w:type="dxa"/>
              <w:end w:w="120" w:type="dxa"/>
            </w:tcMar>
            <w:vAlign w:val="center"/>
          </w:tcPr>
          <w:p>
            <w:pPr>
              <w:spacing w:after="0"/>
            </w:pPr>
            <w:r>
              <w:rPr>
                <w:sz w:val="16"/>
              </w:rPr>
              <w:t>Show individual responses, consensus, divergence, and opportunity.</w:t>
            </w:r>
          </w:p>
        </w:tc>
      </w:tr>
      <w:tr>
        <w:tc>
          <w:tcPr>
            <w:tcW w:type="dxa" w:w="720"/>
            <w:shd w:fill="F8FAFC"/>
            <w:tcMar>
              <w:top w:w="100" w:type="dxa"/>
              <w:start w:w="120" w:type="dxa"/>
              <w:bottom w:w="100" w:type="dxa"/>
              <w:end w:w="120" w:type="dxa"/>
            </w:tcMar>
            <w:vAlign w:val="center"/>
          </w:tcPr>
          <w:p>
            <w:pPr>
              <w:spacing w:after="0"/>
            </w:pPr>
            <w:r>
              <w:rPr>
                <w:sz w:val="16"/>
              </w:rPr>
              <w:t>4</w:t>
            </w:r>
          </w:p>
        </w:tc>
        <w:tc>
          <w:tcPr>
            <w:tcW w:type="dxa" w:w="1656"/>
            <w:shd w:fill="F8FAFC"/>
            <w:tcMar>
              <w:top w:w="100" w:type="dxa"/>
              <w:start w:w="120" w:type="dxa"/>
              <w:bottom w:w="100" w:type="dxa"/>
              <w:end w:w="120" w:type="dxa"/>
            </w:tcMar>
            <w:vAlign w:val="center"/>
          </w:tcPr>
          <w:p>
            <w:pPr>
              <w:spacing w:after="0"/>
            </w:pPr>
            <w:r>
              <w:rPr>
                <w:sz w:val="16"/>
              </w:rPr>
              <w:t>Study builder</w:t>
            </w:r>
          </w:p>
        </w:tc>
        <w:tc>
          <w:tcPr>
            <w:tcW w:type="dxa" w:w="4320"/>
            <w:shd w:fill="F8FAFC"/>
            <w:tcMar>
              <w:top w:w="100" w:type="dxa"/>
              <w:start w:w="120" w:type="dxa"/>
              <w:bottom w:w="100" w:type="dxa"/>
              <w:end w:w="120" w:type="dxa"/>
            </w:tcMar>
            <w:vAlign w:val="center"/>
          </w:tcPr>
          <w:p>
            <w:pPr>
              <w:spacing w:after="0"/>
            </w:pPr>
            <w:r>
              <w:rPr>
                <w:sz w:val="16"/>
              </w:rPr>
              <w:t>Convert the panel question into a message comparison study.</w:t>
            </w:r>
          </w:p>
        </w:tc>
        <w:tc>
          <w:tcPr>
            <w:tcW w:type="dxa" w:w="2880"/>
            <w:shd w:fill="F8FAFC"/>
            <w:tcMar>
              <w:top w:w="100" w:type="dxa"/>
              <w:start w:w="120" w:type="dxa"/>
              <w:bottom w:w="100" w:type="dxa"/>
              <w:end w:w="120" w:type="dxa"/>
            </w:tcMar>
            <w:vAlign w:val="center"/>
          </w:tcPr>
          <w:p>
            <w:pPr>
              <w:spacing w:after="0"/>
            </w:pPr>
            <w:r>
              <w:rPr>
                <w:sz w:val="16"/>
              </w:rPr>
              <w:t>Show the difference between conversation and structured research.</w:t>
            </w:r>
          </w:p>
        </w:tc>
      </w:tr>
      <w:tr>
        <w:tc>
          <w:tcPr>
            <w:tcW w:type="dxa" w:w="720"/>
            <w:tcMar>
              <w:top w:w="100" w:type="dxa"/>
              <w:start w:w="120" w:type="dxa"/>
              <w:bottom w:w="100" w:type="dxa"/>
              <w:end w:w="120" w:type="dxa"/>
            </w:tcMar>
            <w:vAlign w:val="center"/>
          </w:tcPr>
          <w:p>
            <w:pPr>
              <w:spacing w:after="0"/>
            </w:pPr>
            <w:r>
              <w:rPr>
                <w:sz w:val="16"/>
              </w:rPr>
              <w:t>5</w:t>
            </w:r>
          </w:p>
        </w:tc>
        <w:tc>
          <w:tcPr>
            <w:tcW w:type="dxa" w:w="1656"/>
            <w:tcMar>
              <w:top w:w="100" w:type="dxa"/>
              <w:start w:w="120" w:type="dxa"/>
              <w:bottom w:w="100" w:type="dxa"/>
              <w:end w:w="120" w:type="dxa"/>
            </w:tcMar>
            <w:vAlign w:val="center"/>
          </w:tcPr>
          <w:p>
            <w:pPr>
              <w:spacing w:after="0"/>
            </w:pPr>
            <w:r>
              <w:rPr>
                <w:sz w:val="16"/>
              </w:rPr>
              <w:t>Study findings</w:t>
            </w:r>
          </w:p>
        </w:tc>
        <w:tc>
          <w:tcPr>
            <w:tcW w:type="dxa" w:w="4320"/>
            <w:tcMar>
              <w:top w:w="100" w:type="dxa"/>
              <w:start w:w="120" w:type="dxa"/>
              <w:bottom w:w="100" w:type="dxa"/>
              <w:end w:w="120" w:type="dxa"/>
            </w:tcMar>
            <w:vAlign w:val="center"/>
          </w:tcPr>
          <w:p>
            <w:pPr>
              <w:spacing w:after="0"/>
            </w:pPr>
            <w:r>
              <w:rPr>
                <w:sz w:val="16"/>
              </w:rPr>
              <w:t>Review treatment fit, objections, and recommendation.</w:t>
            </w:r>
          </w:p>
        </w:tc>
        <w:tc>
          <w:tcPr>
            <w:tcW w:type="dxa" w:w="2880"/>
            <w:tcMar>
              <w:top w:w="100" w:type="dxa"/>
              <w:start w:w="120" w:type="dxa"/>
              <w:bottom w:w="100" w:type="dxa"/>
              <w:end w:w="120" w:type="dxa"/>
            </w:tcMar>
            <w:vAlign w:val="center"/>
          </w:tcPr>
          <w:p>
            <w:pPr>
              <w:spacing w:after="0"/>
            </w:pPr>
            <w:r>
              <w:rPr>
                <w:sz w:val="16"/>
              </w:rPr>
              <w:t>Create a decision-ready outcome.</w:t>
            </w:r>
          </w:p>
        </w:tc>
      </w:tr>
      <w:tr>
        <w:tc>
          <w:tcPr>
            <w:tcW w:type="dxa" w:w="720"/>
            <w:shd w:fill="F8FAFC"/>
            <w:tcMar>
              <w:top w:w="100" w:type="dxa"/>
              <w:start w:w="120" w:type="dxa"/>
              <w:bottom w:w="100" w:type="dxa"/>
              <w:end w:w="120" w:type="dxa"/>
            </w:tcMar>
            <w:vAlign w:val="center"/>
          </w:tcPr>
          <w:p>
            <w:pPr>
              <w:spacing w:after="0"/>
            </w:pPr>
            <w:r>
              <w:rPr>
                <w:sz w:val="16"/>
              </w:rPr>
              <w:t>6</w:t>
            </w:r>
          </w:p>
        </w:tc>
        <w:tc>
          <w:tcPr>
            <w:tcW w:type="dxa" w:w="1656"/>
            <w:shd w:fill="F8FAFC"/>
            <w:tcMar>
              <w:top w:w="100" w:type="dxa"/>
              <w:start w:w="120" w:type="dxa"/>
              <w:bottom w:w="100" w:type="dxa"/>
              <w:end w:w="120" w:type="dxa"/>
            </w:tcMar>
            <w:vAlign w:val="center"/>
          </w:tcPr>
          <w:p>
            <w:pPr>
              <w:spacing w:after="0"/>
            </w:pPr>
            <w:r>
              <w:rPr>
                <w:sz w:val="16"/>
              </w:rPr>
              <w:t>Activation brief</w:t>
            </w:r>
          </w:p>
        </w:tc>
        <w:tc>
          <w:tcPr>
            <w:tcW w:type="dxa" w:w="4320"/>
            <w:shd w:fill="F8FAFC"/>
            <w:tcMar>
              <w:top w:w="100" w:type="dxa"/>
              <w:start w:w="120" w:type="dxa"/>
              <w:bottom w:w="100" w:type="dxa"/>
              <w:end w:w="120" w:type="dxa"/>
            </w:tcMar>
            <w:vAlign w:val="center"/>
          </w:tcPr>
          <w:p>
            <w:pPr>
              <w:spacing w:after="0"/>
            </w:pPr>
            <w:r>
              <w:rPr>
                <w:sz w:val="16"/>
              </w:rPr>
              <w:t>Approve the audience-and-message plan with KPI and holdout.</w:t>
            </w:r>
          </w:p>
        </w:tc>
        <w:tc>
          <w:tcPr>
            <w:tcW w:type="dxa" w:w="2880"/>
            <w:shd w:fill="F8FAFC"/>
            <w:tcMar>
              <w:top w:w="100" w:type="dxa"/>
              <w:start w:w="120" w:type="dxa"/>
              <w:bottom w:w="100" w:type="dxa"/>
              <w:end w:w="120" w:type="dxa"/>
            </w:tcMar>
            <w:vAlign w:val="center"/>
          </w:tcPr>
          <w:p>
            <w:pPr>
              <w:spacing w:after="0"/>
            </w:pPr>
            <w:r>
              <w:rPr>
                <w:sz w:val="16"/>
              </w:rPr>
              <w:t>Connect intelligence to orchestration without building integration.</w:t>
            </w:r>
          </w:p>
        </w:tc>
      </w:tr>
      <w:tr>
        <w:tc>
          <w:tcPr>
            <w:tcW w:type="dxa" w:w="720"/>
            <w:tcMar>
              <w:top w:w="100" w:type="dxa"/>
              <w:start w:w="120" w:type="dxa"/>
              <w:bottom w:w="100" w:type="dxa"/>
              <w:end w:w="120" w:type="dxa"/>
            </w:tcMar>
            <w:vAlign w:val="center"/>
          </w:tcPr>
          <w:p>
            <w:pPr>
              <w:spacing w:after="0"/>
            </w:pPr>
            <w:r>
              <w:rPr>
                <w:sz w:val="16"/>
              </w:rPr>
              <w:t>7</w:t>
            </w:r>
          </w:p>
        </w:tc>
        <w:tc>
          <w:tcPr>
            <w:tcW w:type="dxa" w:w="1656"/>
            <w:tcMar>
              <w:top w:w="100" w:type="dxa"/>
              <w:start w:w="120" w:type="dxa"/>
              <w:bottom w:w="100" w:type="dxa"/>
              <w:end w:w="120" w:type="dxa"/>
            </w:tcMar>
            <w:vAlign w:val="center"/>
          </w:tcPr>
          <w:p>
            <w:pPr>
              <w:spacing w:after="0"/>
            </w:pPr>
            <w:r>
              <w:rPr>
                <w:sz w:val="16"/>
              </w:rPr>
              <w:t>Learning loop</w:t>
            </w:r>
          </w:p>
        </w:tc>
        <w:tc>
          <w:tcPr>
            <w:tcW w:type="dxa" w:w="4320"/>
            <w:tcMar>
              <w:top w:w="100" w:type="dxa"/>
              <w:start w:w="120" w:type="dxa"/>
              <w:bottom w:w="100" w:type="dxa"/>
              <w:end w:w="120" w:type="dxa"/>
            </w:tcMar>
            <w:vAlign w:val="center"/>
          </w:tcPr>
          <w:p>
            <w:pPr>
              <w:spacing w:after="0"/>
            </w:pPr>
            <w:r>
              <w:rPr>
                <w:sz w:val="16"/>
              </w:rPr>
              <w:t>Compare predicted and actual completion.</w:t>
            </w:r>
          </w:p>
        </w:tc>
        <w:tc>
          <w:tcPr>
            <w:tcW w:type="dxa" w:w="2880"/>
            <w:tcMar>
              <w:top w:w="100" w:type="dxa"/>
              <w:start w:w="120" w:type="dxa"/>
              <w:bottom w:w="100" w:type="dxa"/>
              <w:end w:w="120" w:type="dxa"/>
            </w:tcMar>
            <w:vAlign w:val="center"/>
          </w:tcPr>
          <w:p>
            <w:pPr>
              <w:spacing w:after="0"/>
            </w:pPr>
            <w:r>
              <w:rPr>
                <w:sz w:val="16"/>
              </w:rPr>
              <w:t>Prove the closed loop.</w:t>
            </w:r>
          </w:p>
        </w:tc>
      </w:tr>
      <w:tr>
        <w:tc>
          <w:tcPr>
            <w:tcW w:type="dxa" w:w="720"/>
            <w:shd w:fill="F8FAFC"/>
            <w:tcMar>
              <w:top w:w="100" w:type="dxa"/>
              <w:start w:w="120" w:type="dxa"/>
              <w:bottom w:w="100" w:type="dxa"/>
              <w:end w:w="120" w:type="dxa"/>
            </w:tcMar>
            <w:vAlign w:val="center"/>
          </w:tcPr>
          <w:p>
            <w:pPr>
              <w:spacing w:after="0"/>
            </w:pPr>
            <w:r>
              <w:rPr>
                <w:sz w:val="16"/>
              </w:rPr>
              <w:t>8</w:t>
            </w:r>
          </w:p>
        </w:tc>
        <w:tc>
          <w:tcPr>
            <w:tcW w:type="dxa" w:w="1656"/>
            <w:shd w:fill="F8FAFC"/>
            <w:tcMar>
              <w:top w:w="100" w:type="dxa"/>
              <w:start w:w="120" w:type="dxa"/>
              <w:bottom w:w="100" w:type="dxa"/>
              <w:end w:w="120" w:type="dxa"/>
            </w:tcMar>
            <w:vAlign w:val="center"/>
          </w:tcPr>
          <w:p>
            <w:pPr>
              <w:spacing w:after="0"/>
            </w:pPr>
            <w:r>
              <w:rPr>
                <w:sz w:val="16"/>
              </w:rPr>
              <w:t>Persona update</w:t>
            </w:r>
          </w:p>
        </w:tc>
        <w:tc>
          <w:tcPr>
            <w:tcW w:type="dxa" w:w="4320"/>
            <w:shd w:fill="F8FAFC"/>
            <w:tcMar>
              <w:top w:w="100" w:type="dxa"/>
              <w:start w:w="120" w:type="dxa"/>
              <w:bottom w:w="100" w:type="dxa"/>
              <w:end w:w="120" w:type="dxa"/>
            </w:tcMar>
            <w:vAlign w:val="center"/>
          </w:tcPr>
          <w:p>
            <w:pPr>
              <w:spacing w:after="0"/>
            </w:pPr>
            <w:r>
              <w:rPr>
                <w:sz w:val="16"/>
              </w:rPr>
              <w:t>Approve Taylor's proposed trait adjustment and open v1.1.</w:t>
            </w:r>
          </w:p>
        </w:tc>
        <w:tc>
          <w:tcPr>
            <w:tcW w:type="dxa" w:w="2880"/>
            <w:shd w:fill="F8FAFC"/>
            <w:tcMar>
              <w:top w:w="100" w:type="dxa"/>
              <w:start w:w="120" w:type="dxa"/>
              <w:bottom w:w="100" w:type="dxa"/>
              <w:end w:w="120" w:type="dxa"/>
            </w:tcMar>
            <w:vAlign w:val="center"/>
          </w:tcPr>
          <w:p>
            <w:pPr>
              <w:spacing w:after="0"/>
            </w:pPr>
            <w:r>
              <w:rPr>
                <w:sz w:val="16"/>
              </w:rPr>
              <w:t>Show governed learning and versioning.</w:t>
            </w:r>
          </w:p>
        </w:tc>
      </w:tr>
    </w:tbl>
    <w:p>
      <w:pPr>
        <w:spacing w:after="20"/>
      </w:pPr>
    </w:p>
    <w:p>
      <w:pPr>
        <w:pStyle w:val="Heading1"/>
        <w:keepNext/>
      </w:pPr>
      <w:r>
        <w:t>5. Screen-by-screen content states</w:t>
      </w:r>
    </w:p>
    <w:tbl>
      <w:tblPr>
        <w:tblStyle w:val="TableGrid"/>
        <w:tblW w:type="auto" w:w="0"/>
        <w:jc w:val="center"/>
        <w:tblLayout w:type="fixed"/>
        <w:tblLook w:firstColumn="1" w:firstRow="1" w:lastColumn="0" w:lastRow="0" w:noHBand="0" w:noVBand="1" w:val="04A0"/>
      </w:tblPr>
      <w:tblGrid>
        <w:gridCol w:w="2469"/>
        <w:gridCol w:w="2469"/>
        <w:gridCol w:w="2469"/>
        <w:gridCol w:w="2469"/>
      </w:tblGrid>
      <w:tr>
        <w:trPr>
          <w:tblHeader w:val="true"/>
        </w:trPr>
        <w:tc>
          <w:tcPr>
            <w:tcW w:type="dxa" w:w="1728"/>
            <w:shd w:fill="12213A"/>
            <w:tcMar>
              <w:top w:w="100" w:type="dxa"/>
              <w:start w:w="120" w:type="dxa"/>
              <w:bottom w:w="100" w:type="dxa"/>
              <w:end w:w="120" w:type="dxa"/>
            </w:tcMar>
            <w:vAlign w:val="center"/>
          </w:tcPr>
          <w:p>
            <w:pPr>
              <w:jc w:val="left"/>
            </w:pPr>
            <w:r>
              <w:rPr>
                <w:b/>
                <w:color w:val="FFFFFF"/>
                <w:sz w:val="16"/>
              </w:rPr>
              <w:t>Screen</w:t>
            </w:r>
          </w:p>
        </w:tc>
        <w:tc>
          <w:tcPr>
            <w:tcW w:type="dxa" w:w="1296"/>
            <w:shd w:fill="12213A"/>
            <w:tcMar>
              <w:top w:w="100" w:type="dxa"/>
              <w:start w:w="120" w:type="dxa"/>
              <w:bottom w:w="100" w:type="dxa"/>
              <w:end w:w="120" w:type="dxa"/>
            </w:tcMar>
            <w:vAlign w:val="center"/>
          </w:tcPr>
          <w:p>
            <w:pPr>
              <w:jc w:val="left"/>
            </w:pPr>
            <w:r>
              <w:rPr>
                <w:b/>
                <w:color w:val="FFFFFF"/>
                <w:sz w:val="16"/>
              </w:rPr>
              <w:t>State</w:t>
            </w:r>
          </w:p>
        </w:tc>
        <w:tc>
          <w:tcPr>
            <w:tcW w:type="dxa" w:w="4032"/>
            <w:shd w:fill="12213A"/>
            <w:tcMar>
              <w:top w:w="100" w:type="dxa"/>
              <w:start w:w="120" w:type="dxa"/>
              <w:bottom w:w="100" w:type="dxa"/>
              <w:end w:w="120" w:type="dxa"/>
            </w:tcMar>
            <w:vAlign w:val="center"/>
          </w:tcPr>
          <w:p>
            <w:pPr>
              <w:jc w:val="left"/>
            </w:pPr>
            <w:r>
              <w:rPr>
                <w:b/>
                <w:color w:val="FFFFFF"/>
                <w:sz w:val="16"/>
              </w:rPr>
              <w:t>Visible components</w:t>
            </w:r>
          </w:p>
        </w:tc>
        <w:tc>
          <w:tcPr>
            <w:tcW w:type="dxa" w:w="2880"/>
            <w:shd w:fill="12213A"/>
            <w:tcMar>
              <w:top w:w="100" w:type="dxa"/>
              <w:start w:w="120" w:type="dxa"/>
              <w:bottom w:w="100" w:type="dxa"/>
              <w:end w:w="120" w:type="dxa"/>
            </w:tcMar>
            <w:vAlign w:val="center"/>
          </w:tcPr>
          <w:p>
            <w:pPr>
              <w:jc w:val="left"/>
            </w:pPr>
            <w:r>
              <w:rPr>
                <w:b/>
                <w:color w:val="FFFFFF"/>
                <w:sz w:val="16"/>
              </w:rPr>
              <w:t>Illustrative content</w:t>
            </w:r>
          </w:p>
        </w:tc>
      </w:tr>
      <w:tr>
        <w:tc>
          <w:tcPr>
            <w:tcW w:type="dxa" w:w="1728"/>
            <w:tcMar>
              <w:top w:w="100" w:type="dxa"/>
              <w:start w:w="120" w:type="dxa"/>
              <w:bottom w:w="100" w:type="dxa"/>
              <w:end w:w="120" w:type="dxa"/>
            </w:tcMar>
            <w:vAlign w:val="center"/>
          </w:tcPr>
          <w:p>
            <w:pPr>
              <w:spacing w:after="0"/>
            </w:pPr>
            <w:r>
              <w:rPr>
                <w:sz w:val="15"/>
              </w:rPr>
              <w:t>Home</w:t>
            </w:r>
          </w:p>
        </w:tc>
        <w:tc>
          <w:tcPr>
            <w:tcW w:type="dxa" w:w="1296"/>
            <w:tcMar>
              <w:top w:w="100" w:type="dxa"/>
              <w:start w:w="120" w:type="dxa"/>
              <w:bottom w:w="100" w:type="dxa"/>
              <w:end w:w="120" w:type="dxa"/>
            </w:tcMar>
            <w:vAlign w:val="center"/>
          </w:tcPr>
          <w:p>
            <w:pPr>
              <w:spacing w:after="0"/>
            </w:pPr>
            <w:r>
              <w:rPr>
                <w:sz w:val="15"/>
              </w:rPr>
              <w:t>Default</w:t>
            </w:r>
          </w:p>
        </w:tc>
        <w:tc>
          <w:tcPr>
            <w:tcW w:type="dxa" w:w="4032"/>
            <w:tcMar>
              <w:top w:w="100" w:type="dxa"/>
              <w:start w:w="120" w:type="dxa"/>
              <w:bottom w:w="100" w:type="dxa"/>
              <w:end w:w="120" w:type="dxa"/>
            </w:tcMar>
            <w:vAlign w:val="center"/>
          </w:tcPr>
          <w:p>
            <w:pPr>
              <w:spacing w:after="0"/>
            </w:pPr>
            <w:r>
              <w:rPr>
                <w:sz w:val="15"/>
              </w:rPr>
              <w:t>3 signal cards, 2 active studies, 1 completed learning event, quick actions</w:t>
            </w:r>
          </w:p>
        </w:tc>
        <w:tc>
          <w:tcPr>
            <w:tcW w:type="dxa" w:w="2880"/>
            <w:tcMar>
              <w:top w:w="100" w:type="dxa"/>
              <w:start w:w="120" w:type="dxa"/>
              <w:bottom w:w="100" w:type="dxa"/>
              <w:end w:w="120" w:type="dxa"/>
            </w:tcMar>
            <w:vAlign w:val="center"/>
          </w:tcPr>
          <w:p>
            <w:pPr>
              <w:spacing w:after="0"/>
            </w:pPr>
            <w:r>
              <w:rPr>
                <w:sz w:val="15"/>
              </w:rPr>
              <w:t>Alert: comparison hesitation +9% vs prior baseline; 4 personas affected</w:t>
            </w:r>
          </w:p>
        </w:tc>
      </w:tr>
      <w:tr>
        <w:tc>
          <w:tcPr>
            <w:tcW w:type="dxa" w:w="1728"/>
            <w:shd w:fill="F8FAFC"/>
            <w:tcMar>
              <w:top w:w="100" w:type="dxa"/>
              <w:start w:w="120" w:type="dxa"/>
              <w:bottom w:w="100" w:type="dxa"/>
              <w:end w:w="120" w:type="dxa"/>
            </w:tcMar>
            <w:vAlign w:val="center"/>
          </w:tcPr>
          <w:p>
            <w:pPr>
              <w:spacing w:after="0"/>
            </w:pPr>
            <w:r>
              <w:rPr>
                <w:sz w:val="15"/>
              </w:rPr>
              <w:t>Persona explorer</w:t>
            </w:r>
          </w:p>
        </w:tc>
        <w:tc>
          <w:tcPr>
            <w:tcW w:type="dxa" w:w="1296"/>
            <w:shd w:fill="F8FAFC"/>
            <w:tcMar>
              <w:top w:w="100" w:type="dxa"/>
              <w:start w:w="120" w:type="dxa"/>
              <w:bottom w:w="100" w:type="dxa"/>
              <w:end w:w="120" w:type="dxa"/>
            </w:tcMar>
            <w:vAlign w:val="center"/>
          </w:tcPr>
          <w:p>
            <w:pPr>
              <w:spacing w:after="0"/>
            </w:pPr>
            <w:r>
              <w:rPr>
                <w:sz w:val="15"/>
              </w:rPr>
              <w:t>Filtered</w:t>
            </w:r>
          </w:p>
        </w:tc>
        <w:tc>
          <w:tcPr>
            <w:tcW w:type="dxa" w:w="4032"/>
            <w:shd w:fill="F8FAFC"/>
            <w:tcMar>
              <w:top w:w="100" w:type="dxa"/>
              <w:start w:w="120" w:type="dxa"/>
              <w:bottom w:w="100" w:type="dxa"/>
              <w:end w:w="120" w:type="dxa"/>
            </w:tcMar>
            <w:vAlign w:val="center"/>
          </w:tcPr>
          <w:p>
            <w:pPr>
              <w:spacing w:after="0"/>
            </w:pPr>
            <w:r>
              <w:rPr>
                <w:sz w:val="15"/>
              </w:rPr>
              <w:t>Journey = Evaluate; signal = hesitation</w:t>
            </w:r>
          </w:p>
        </w:tc>
        <w:tc>
          <w:tcPr>
            <w:tcW w:type="dxa" w:w="2880"/>
            <w:shd w:fill="F8FAFC"/>
            <w:tcMar>
              <w:top w:w="100" w:type="dxa"/>
              <w:start w:w="120" w:type="dxa"/>
              <w:bottom w:w="100" w:type="dxa"/>
              <w:end w:w="120" w:type="dxa"/>
            </w:tcMar>
            <w:vAlign w:val="center"/>
          </w:tcPr>
          <w:p>
            <w:pPr>
              <w:spacing w:after="0"/>
            </w:pPr>
            <w:r>
              <w:rPr>
                <w:sz w:val="15"/>
              </w:rPr>
              <w:t>Avery, Riley, Morgan, Taylor selected</w:t>
            </w:r>
          </w:p>
        </w:tc>
      </w:tr>
      <w:tr>
        <w:tc>
          <w:tcPr>
            <w:tcW w:type="dxa" w:w="1728"/>
            <w:tcMar>
              <w:top w:w="100" w:type="dxa"/>
              <w:start w:w="120" w:type="dxa"/>
              <w:bottom w:w="100" w:type="dxa"/>
              <w:end w:w="120" w:type="dxa"/>
            </w:tcMar>
            <w:vAlign w:val="center"/>
          </w:tcPr>
          <w:p>
            <w:pPr>
              <w:spacing w:after="0"/>
            </w:pPr>
            <w:r>
              <w:rPr>
                <w:sz w:val="15"/>
              </w:rPr>
              <w:t>Journey detail</w:t>
            </w:r>
          </w:p>
        </w:tc>
        <w:tc>
          <w:tcPr>
            <w:tcW w:type="dxa" w:w="1296"/>
            <w:tcMar>
              <w:top w:w="100" w:type="dxa"/>
              <w:start w:w="120" w:type="dxa"/>
              <w:bottom w:w="100" w:type="dxa"/>
              <w:end w:w="120" w:type="dxa"/>
            </w:tcMar>
            <w:vAlign w:val="center"/>
          </w:tcPr>
          <w:p>
            <w:pPr>
              <w:spacing w:after="0"/>
            </w:pPr>
            <w:r>
              <w:rPr>
                <w:sz w:val="15"/>
              </w:rPr>
              <w:t>Alert selected</w:t>
            </w:r>
          </w:p>
        </w:tc>
        <w:tc>
          <w:tcPr>
            <w:tcW w:type="dxa" w:w="4032"/>
            <w:tcMar>
              <w:top w:w="100" w:type="dxa"/>
              <w:start w:w="120" w:type="dxa"/>
              <w:bottom w:w="100" w:type="dxa"/>
              <w:end w:w="120" w:type="dxa"/>
            </w:tcMar>
            <w:vAlign w:val="center"/>
          </w:tcPr>
          <w:p>
            <w:pPr>
              <w:spacing w:after="0"/>
            </w:pPr>
            <w:r>
              <w:rPr>
                <w:sz w:val="15"/>
              </w:rPr>
              <w:t>Moment trend, audience comparison, evidence drawer, proposed actions</w:t>
            </w:r>
          </w:p>
        </w:tc>
        <w:tc>
          <w:tcPr>
            <w:tcW w:type="dxa" w:w="2880"/>
            <w:tcMar>
              <w:top w:w="100" w:type="dxa"/>
              <w:start w:w="120" w:type="dxa"/>
              <w:bottom w:w="100" w:type="dxa"/>
              <w:end w:w="120" w:type="dxa"/>
            </w:tcMar>
            <w:vAlign w:val="center"/>
          </w:tcPr>
          <w:p>
            <w:pPr>
              <w:spacing w:after="0"/>
            </w:pPr>
            <w:r>
              <w:rPr>
                <w:sz w:val="15"/>
              </w:rPr>
              <w:t>Completion 62%; effort score 3.4/5; confidence Medium</w:t>
            </w:r>
          </w:p>
        </w:tc>
      </w:tr>
      <w:tr>
        <w:tc>
          <w:tcPr>
            <w:tcW w:type="dxa" w:w="1728"/>
            <w:shd w:fill="F8FAFC"/>
            <w:tcMar>
              <w:top w:w="100" w:type="dxa"/>
              <w:start w:w="120" w:type="dxa"/>
              <w:bottom w:w="100" w:type="dxa"/>
              <w:end w:w="120" w:type="dxa"/>
            </w:tcMar>
            <w:vAlign w:val="center"/>
          </w:tcPr>
          <w:p>
            <w:pPr>
              <w:spacing w:after="0"/>
            </w:pPr>
            <w:r>
              <w:rPr>
                <w:sz w:val="15"/>
              </w:rPr>
              <w:t>Panel</w:t>
            </w:r>
          </w:p>
        </w:tc>
        <w:tc>
          <w:tcPr>
            <w:tcW w:type="dxa" w:w="1296"/>
            <w:shd w:fill="F8FAFC"/>
            <w:tcMar>
              <w:top w:w="100" w:type="dxa"/>
              <w:start w:w="120" w:type="dxa"/>
              <w:bottom w:w="100" w:type="dxa"/>
              <w:end w:w="120" w:type="dxa"/>
            </w:tcMar>
            <w:vAlign w:val="center"/>
          </w:tcPr>
          <w:p>
            <w:pPr>
              <w:spacing w:after="0"/>
            </w:pPr>
            <w:r>
              <w:rPr>
                <w:sz w:val="15"/>
              </w:rPr>
              <w:t>Synthesized</w:t>
            </w:r>
          </w:p>
        </w:tc>
        <w:tc>
          <w:tcPr>
            <w:tcW w:type="dxa" w:w="4032"/>
            <w:shd w:fill="F8FAFC"/>
            <w:tcMar>
              <w:top w:w="100" w:type="dxa"/>
              <w:start w:w="120" w:type="dxa"/>
              <w:bottom w:w="100" w:type="dxa"/>
              <w:end w:w="120" w:type="dxa"/>
            </w:tcMar>
            <w:vAlign w:val="center"/>
          </w:tcPr>
          <w:p>
            <w:pPr>
              <w:spacing w:after="0"/>
            </w:pPr>
            <w:r>
              <w:rPr>
                <w:sz w:val="15"/>
              </w:rPr>
              <w:t>Six individual responses plus moderator output</w:t>
            </w:r>
          </w:p>
        </w:tc>
        <w:tc>
          <w:tcPr>
            <w:tcW w:type="dxa" w:w="2880"/>
            <w:shd w:fill="F8FAFC"/>
            <w:tcMar>
              <w:top w:w="100" w:type="dxa"/>
              <w:start w:w="120" w:type="dxa"/>
              <w:bottom w:w="100" w:type="dxa"/>
              <w:end w:w="120" w:type="dxa"/>
            </w:tcMar>
            <w:vAlign w:val="center"/>
          </w:tcPr>
          <w:p>
            <w:pPr>
              <w:spacing w:after="0"/>
            </w:pPr>
            <w:r>
              <w:rPr>
                <w:sz w:val="15"/>
              </w:rPr>
              <w:t>Consensus: generic message lacks decision support; divergence: control vs guidance</w:t>
            </w:r>
          </w:p>
        </w:tc>
      </w:tr>
      <w:tr>
        <w:tc>
          <w:tcPr>
            <w:tcW w:type="dxa" w:w="1728"/>
            <w:tcMar>
              <w:top w:w="100" w:type="dxa"/>
              <w:start w:w="120" w:type="dxa"/>
              <w:bottom w:w="100" w:type="dxa"/>
              <w:end w:w="120" w:type="dxa"/>
            </w:tcMar>
            <w:vAlign w:val="center"/>
          </w:tcPr>
          <w:p>
            <w:pPr>
              <w:spacing w:after="0"/>
            </w:pPr>
            <w:r>
              <w:rPr>
                <w:sz w:val="15"/>
              </w:rPr>
              <w:t>Study builder</w:t>
            </w:r>
          </w:p>
        </w:tc>
        <w:tc>
          <w:tcPr>
            <w:tcW w:type="dxa" w:w="1296"/>
            <w:tcMar>
              <w:top w:w="100" w:type="dxa"/>
              <w:start w:w="120" w:type="dxa"/>
              <w:bottom w:w="100" w:type="dxa"/>
              <w:end w:w="120" w:type="dxa"/>
            </w:tcMar>
            <w:vAlign w:val="center"/>
          </w:tcPr>
          <w:p>
            <w:pPr>
              <w:spacing w:after="0"/>
            </w:pPr>
            <w:r>
              <w:rPr>
                <w:sz w:val="15"/>
              </w:rPr>
              <w:t>Review</w:t>
            </w:r>
          </w:p>
        </w:tc>
        <w:tc>
          <w:tcPr>
            <w:tcW w:type="dxa" w:w="4032"/>
            <w:tcMar>
              <w:top w:w="100" w:type="dxa"/>
              <w:start w:w="120" w:type="dxa"/>
              <w:bottom w:w="100" w:type="dxa"/>
              <w:end w:w="120" w:type="dxa"/>
            </w:tcMar>
            <w:vAlign w:val="center"/>
          </w:tcPr>
          <w:p>
            <w:pPr>
              <w:spacing w:after="0"/>
            </w:pPr>
            <w:r>
              <w:rPr>
                <w:sz w:val="15"/>
              </w:rPr>
              <w:t>Decision, 6 personas, 2 messages, 5 measures</w:t>
            </w:r>
          </w:p>
        </w:tc>
        <w:tc>
          <w:tcPr>
            <w:tcW w:type="dxa" w:w="2880"/>
            <w:tcMar>
              <w:top w:w="100" w:type="dxa"/>
              <w:start w:w="120" w:type="dxa"/>
              <w:bottom w:w="100" w:type="dxa"/>
              <w:end w:w="120" w:type="dxa"/>
            </w:tcMar>
            <w:vAlign w:val="center"/>
          </w:tcPr>
          <w:p>
            <w:pPr>
              <w:spacing w:after="0"/>
            </w:pPr>
            <w:r>
              <w:rPr>
                <w:sz w:val="15"/>
              </w:rPr>
              <w:t>Measures: clarity, relevance, confidence, continuation intent, concern</w:t>
            </w:r>
          </w:p>
        </w:tc>
      </w:tr>
      <w:tr>
        <w:tc>
          <w:tcPr>
            <w:tcW w:type="dxa" w:w="1728"/>
            <w:shd w:fill="F8FAFC"/>
            <w:tcMar>
              <w:top w:w="100" w:type="dxa"/>
              <w:start w:w="120" w:type="dxa"/>
              <w:bottom w:w="100" w:type="dxa"/>
              <w:end w:w="120" w:type="dxa"/>
            </w:tcMar>
            <w:vAlign w:val="center"/>
          </w:tcPr>
          <w:p>
            <w:pPr>
              <w:spacing w:after="0"/>
            </w:pPr>
            <w:r>
              <w:rPr>
                <w:sz w:val="15"/>
              </w:rPr>
              <w:t>Study findings</w:t>
            </w:r>
          </w:p>
        </w:tc>
        <w:tc>
          <w:tcPr>
            <w:tcW w:type="dxa" w:w="1296"/>
            <w:shd w:fill="F8FAFC"/>
            <w:tcMar>
              <w:top w:w="100" w:type="dxa"/>
              <w:start w:w="120" w:type="dxa"/>
              <w:bottom w:w="100" w:type="dxa"/>
              <w:end w:w="120" w:type="dxa"/>
            </w:tcMar>
            <w:vAlign w:val="center"/>
          </w:tcPr>
          <w:p>
            <w:pPr>
              <w:spacing w:after="0"/>
            </w:pPr>
            <w:r>
              <w:rPr>
                <w:sz w:val="15"/>
              </w:rPr>
              <w:t>Complete</w:t>
            </w:r>
          </w:p>
        </w:tc>
        <w:tc>
          <w:tcPr>
            <w:tcW w:type="dxa" w:w="4032"/>
            <w:shd w:fill="F8FAFC"/>
            <w:tcMar>
              <w:top w:w="100" w:type="dxa"/>
              <w:start w:w="120" w:type="dxa"/>
              <w:bottom w:w="100" w:type="dxa"/>
              <w:end w:w="120" w:type="dxa"/>
            </w:tcMar>
            <w:vAlign w:val="center"/>
          </w:tcPr>
          <w:p>
            <w:pPr>
              <w:spacing w:after="0"/>
            </w:pPr>
            <w:r>
              <w:rPr>
                <w:sz w:val="15"/>
              </w:rPr>
              <w:t>Recommendation, ranked outcomes, segment map, limitations</w:t>
            </w:r>
          </w:p>
        </w:tc>
        <w:tc>
          <w:tcPr>
            <w:tcW w:type="dxa" w:w="2880"/>
            <w:shd w:fill="F8FAFC"/>
            <w:tcMar>
              <w:top w:w="100" w:type="dxa"/>
              <w:start w:w="120" w:type="dxa"/>
              <w:bottom w:w="100" w:type="dxa"/>
              <w:end w:w="120" w:type="dxa"/>
            </w:tcMar>
            <w:vAlign w:val="center"/>
          </w:tcPr>
          <w:p>
            <w:pPr>
              <w:spacing w:after="0"/>
            </w:pPr>
            <w:r>
              <w:rPr>
                <w:sz w:val="15"/>
              </w:rPr>
              <w:t>Transparent comparison recommended as base; adaptive framing by persona</w:t>
            </w:r>
          </w:p>
        </w:tc>
      </w:tr>
      <w:tr>
        <w:tc>
          <w:tcPr>
            <w:tcW w:type="dxa" w:w="1728"/>
            <w:tcMar>
              <w:top w:w="100" w:type="dxa"/>
              <w:start w:w="120" w:type="dxa"/>
              <w:bottom w:w="100" w:type="dxa"/>
              <w:end w:w="120" w:type="dxa"/>
            </w:tcMar>
            <w:vAlign w:val="center"/>
          </w:tcPr>
          <w:p>
            <w:pPr>
              <w:spacing w:after="0"/>
            </w:pPr>
            <w:r>
              <w:rPr>
                <w:sz w:val="15"/>
              </w:rPr>
              <w:t>Activation brief</w:t>
            </w:r>
          </w:p>
        </w:tc>
        <w:tc>
          <w:tcPr>
            <w:tcW w:type="dxa" w:w="1296"/>
            <w:tcMar>
              <w:top w:w="100" w:type="dxa"/>
              <w:start w:w="120" w:type="dxa"/>
              <w:bottom w:w="100" w:type="dxa"/>
              <w:end w:w="120" w:type="dxa"/>
            </w:tcMar>
            <w:vAlign w:val="center"/>
          </w:tcPr>
          <w:p>
            <w:pPr>
              <w:spacing w:after="0"/>
            </w:pPr>
            <w:r>
              <w:rPr>
                <w:sz w:val="15"/>
              </w:rPr>
              <w:t>Approved</w:t>
            </w:r>
          </w:p>
        </w:tc>
        <w:tc>
          <w:tcPr>
            <w:tcW w:type="dxa" w:w="4032"/>
            <w:tcMar>
              <w:top w:w="100" w:type="dxa"/>
              <w:start w:w="120" w:type="dxa"/>
              <w:bottom w:w="100" w:type="dxa"/>
              <w:end w:w="120" w:type="dxa"/>
            </w:tcMar>
            <w:vAlign w:val="center"/>
          </w:tcPr>
          <w:p>
            <w:pPr>
              <w:spacing w:after="0"/>
            </w:pPr>
            <w:r>
              <w:rPr>
                <w:sz w:val="15"/>
              </w:rPr>
              <w:t>Audience rules, variants, KPI, holdout, IDs</w:t>
            </w:r>
          </w:p>
        </w:tc>
        <w:tc>
          <w:tcPr>
            <w:tcW w:type="dxa" w:w="2880"/>
            <w:tcMar>
              <w:top w:w="100" w:type="dxa"/>
              <w:start w:w="120" w:type="dxa"/>
              <w:bottom w:w="100" w:type="dxa"/>
              <w:end w:w="120" w:type="dxa"/>
            </w:tcMar>
            <w:vAlign w:val="center"/>
          </w:tcPr>
          <w:p>
            <w:pPr>
              <w:spacing w:after="0"/>
            </w:pPr>
            <w:r>
              <w:rPr>
                <w:sz w:val="15"/>
              </w:rPr>
              <w:t>Primary KPI: journey completion; 10% holdout; demo status Approved</w:t>
            </w:r>
          </w:p>
        </w:tc>
      </w:tr>
      <w:tr>
        <w:tc>
          <w:tcPr>
            <w:tcW w:type="dxa" w:w="1728"/>
            <w:shd w:fill="F8FAFC"/>
            <w:tcMar>
              <w:top w:w="100" w:type="dxa"/>
              <w:start w:w="120" w:type="dxa"/>
              <w:bottom w:w="100" w:type="dxa"/>
              <w:end w:w="120" w:type="dxa"/>
            </w:tcMar>
            <w:vAlign w:val="center"/>
          </w:tcPr>
          <w:p>
            <w:pPr>
              <w:spacing w:after="0"/>
            </w:pPr>
            <w:r>
              <w:rPr>
                <w:sz w:val="15"/>
              </w:rPr>
              <w:t>Learning loop</w:t>
            </w:r>
          </w:p>
        </w:tc>
        <w:tc>
          <w:tcPr>
            <w:tcW w:type="dxa" w:w="1296"/>
            <w:shd w:fill="F8FAFC"/>
            <w:tcMar>
              <w:top w:w="100" w:type="dxa"/>
              <w:start w:w="120" w:type="dxa"/>
              <w:bottom w:w="100" w:type="dxa"/>
              <w:end w:w="120" w:type="dxa"/>
            </w:tcMar>
            <w:vAlign w:val="center"/>
          </w:tcPr>
          <w:p>
            <w:pPr>
              <w:spacing w:after="0"/>
            </w:pPr>
            <w:r>
              <w:rPr>
                <w:sz w:val="15"/>
              </w:rPr>
              <w:t>Reconciled</w:t>
            </w:r>
          </w:p>
        </w:tc>
        <w:tc>
          <w:tcPr>
            <w:tcW w:type="dxa" w:w="4032"/>
            <w:shd w:fill="F8FAFC"/>
            <w:tcMar>
              <w:top w:w="100" w:type="dxa"/>
              <w:start w:w="120" w:type="dxa"/>
              <w:bottom w:w="100" w:type="dxa"/>
              <w:end w:w="120" w:type="dxa"/>
            </w:tcMar>
            <w:vAlign w:val="center"/>
          </w:tcPr>
          <w:p>
            <w:pPr>
              <w:spacing w:after="0"/>
            </w:pPr>
            <w:r>
              <w:rPr>
                <w:sz w:val="15"/>
              </w:rPr>
              <w:t>Prediction vs actual, variance, drivers, update proposal</w:t>
            </w:r>
          </w:p>
        </w:tc>
        <w:tc>
          <w:tcPr>
            <w:tcW w:type="dxa" w:w="2880"/>
            <w:shd w:fill="F8FAFC"/>
            <w:tcMar>
              <w:top w:w="100" w:type="dxa"/>
              <w:start w:w="120" w:type="dxa"/>
              <w:bottom w:w="100" w:type="dxa"/>
              <w:end w:w="120" w:type="dxa"/>
            </w:tcMar>
            <w:vAlign w:val="center"/>
          </w:tcPr>
          <w:p>
            <w:pPr>
              <w:spacing w:after="0"/>
            </w:pPr>
            <w:r>
              <w:rPr>
                <w:sz w:val="15"/>
              </w:rPr>
              <w:t>Predicted +8%; actual +6.7%; direction correct; Taylor actual above prediction</w:t>
            </w:r>
          </w:p>
        </w:tc>
      </w:tr>
      <w:tr>
        <w:tc>
          <w:tcPr>
            <w:tcW w:type="dxa" w:w="1728"/>
            <w:tcMar>
              <w:top w:w="100" w:type="dxa"/>
              <w:start w:w="120" w:type="dxa"/>
              <w:bottom w:w="100" w:type="dxa"/>
              <w:end w:w="120" w:type="dxa"/>
            </w:tcMar>
            <w:vAlign w:val="center"/>
          </w:tcPr>
          <w:p>
            <w:pPr>
              <w:spacing w:after="0"/>
            </w:pPr>
            <w:r>
              <w:rPr>
                <w:sz w:val="15"/>
              </w:rPr>
              <w:t>Persona history</w:t>
            </w:r>
          </w:p>
        </w:tc>
        <w:tc>
          <w:tcPr>
            <w:tcW w:type="dxa" w:w="1296"/>
            <w:tcMar>
              <w:top w:w="100" w:type="dxa"/>
              <w:start w:w="120" w:type="dxa"/>
              <w:bottom w:w="100" w:type="dxa"/>
              <w:end w:w="120" w:type="dxa"/>
            </w:tcMar>
            <w:vAlign w:val="center"/>
          </w:tcPr>
          <w:p>
            <w:pPr>
              <w:spacing w:after="0"/>
            </w:pPr>
            <w:r>
              <w:rPr>
                <w:sz w:val="15"/>
              </w:rPr>
              <w:t>v1.1</w:t>
            </w:r>
          </w:p>
        </w:tc>
        <w:tc>
          <w:tcPr>
            <w:tcW w:type="dxa" w:w="4032"/>
            <w:tcMar>
              <w:top w:w="100" w:type="dxa"/>
              <w:start w:w="120" w:type="dxa"/>
              <w:bottom w:w="100" w:type="dxa"/>
              <w:end w:w="120" w:type="dxa"/>
            </w:tcMar>
            <w:vAlign w:val="center"/>
          </w:tcPr>
          <w:p>
            <w:pPr>
              <w:spacing w:after="0"/>
            </w:pPr>
            <w:r>
              <w:rPr>
                <w:sz w:val="15"/>
              </w:rPr>
              <w:t>Before/after trait and evidence event</w:t>
            </w:r>
          </w:p>
        </w:tc>
        <w:tc>
          <w:tcPr>
            <w:tcW w:type="dxa" w:w="2880"/>
            <w:tcMar>
              <w:top w:w="100" w:type="dxa"/>
              <w:start w:w="120" w:type="dxa"/>
              <w:bottom w:w="100" w:type="dxa"/>
              <w:end w:w="120" w:type="dxa"/>
            </w:tcMar>
            <w:vAlign w:val="center"/>
          </w:tcPr>
          <w:p>
            <w:pPr>
              <w:spacing w:after="0"/>
            </w:pPr>
            <w:r>
              <w:rPr>
                <w:sz w:val="15"/>
              </w:rPr>
              <w:t>Evidence-backed personalization responsiveness 0.62 -&gt; 0.68</w:t>
            </w:r>
          </w:p>
        </w:tc>
      </w:tr>
    </w:tbl>
    <w:p>
      <w:pPr>
        <w:spacing w:after="20"/>
      </w:pPr>
    </w:p>
    <w:p>
      <w:pPr>
        <w:pStyle w:val="Heading1"/>
        <w:keepNext/>
      </w:pPr>
      <w:r>
        <w:t>6. Study specification for the happy path</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088"/>
            <w:shd w:fill="12213A"/>
            <w:tcMar>
              <w:top w:w="100" w:type="dxa"/>
              <w:start w:w="120" w:type="dxa"/>
              <w:bottom w:w="100" w:type="dxa"/>
              <w:end w:w="120" w:type="dxa"/>
            </w:tcMar>
            <w:vAlign w:val="center"/>
          </w:tcPr>
          <w:p>
            <w:pPr>
              <w:jc w:val="left"/>
            </w:pPr>
            <w:r>
              <w:rPr>
                <w:b/>
                <w:color w:val="FFFFFF"/>
                <w:sz w:val="16"/>
              </w:rPr>
              <w:t>Field</w:t>
            </w:r>
          </w:p>
        </w:tc>
        <w:tc>
          <w:tcPr>
            <w:tcW w:type="dxa" w:w="7488"/>
            <w:shd w:fill="12213A"/>
            <w:tcMar>
              <w:top w:w="100" w:type="dxa"/>
              <w:start w:w="120" w:type="dxa"/>
              <w:bottom w:w="100" w:type="dxa"/>
              <w:end w:w="120" w:type="dxa"/>
            </w:tcMar>
            <w:vAlign w:val="center"/>
          </w:tcPr>
          <w:p>
            <w:pPr>
              <w:jc w:val="left"/>
            </w:pPr>
            <w:r>
              <w:rPr>
                <w:b/>
                <w:color w:val="FFFFFF"/>
                <w:sz w:val="16"/>
              </w:rPr>
              <w:t>Demo value</w:t>
            </w:r>
          </w:p>
        </w:tc>
      </w:tr>
      <w:tr>
        <w:tc>
          <w:tcPr>
            <w:tcW w:type="dxa" w:w="2088"/>
            <w:tcMar>
              <w:top w:w="100" w:type="dxa"/>
              <w:start w:w="120" w:type="dxa"/>
              <w:bottom w:w="100" w:type="dxa"/>
              <w:end w:w="120" w:type="dxa"/>
            </w:tcMar>
            <w:vAlign w:val="center"/>
          </w:tcPr>
          <w:p>
            <w:pPr>
              <w:spacing w:after="0"/>
            </w:pPr>
            <w:r>
              <w:rPr>
                <w:sz w:val="16"/>
              </w:rPr>
              <w:t>Study name</w:t>
            </w:r>
          </w:p>
        </w:tc>
        <w:tc>
          <w:tcPr>
            <w:tcW w:type="dxa" w:w="7488"/>
            <w:tcMar>
              <w:top w:w="100" w:type="dxa"/>
              <w:start w:w="120" w:type="dxa"/>
              <w:bottom w:w="100" w:type="dxa"/>
              <w:end w:w="120" w:type="dxa"/>
            </w:tcMar>
            <w:vAlign w:val="center"/>
          </w:tcPr>
          <w:p>
            <w:pPr>
              <w:spacing w:after="0"/>
            </w:pPr>
            <w:r>
              <w:rPr>
                <w:sz w:val="16"/>
              </w:rPr>
              <w:t>Plan comparison message test</w:t>
            </w:r>
          </w:p>
        </w:tc>
      </w:tr>
      <w:tr>
        <w:tc>
          <w:tcPr>
            <w:tcW w:type="dxa" w:w="2088"/>
            <w:shd w:fill="F8FAFC"/>
            <w:tcMar>
              <w:top w:w="100" w:type="dxa"/>
              <w:start w:w="120" w:type="dxa"/>
              <w:bottom w:w="100" w:type="dxa"/>
              <w:end w:w="120" w:type="dxa"/>
            </w:tcMar>
            <w:vAlign w:val="center"/>
          </w:tcPr>
          <w:p>
            <w:pPr>
              <w:spacing w:after="0"/>
            </w:pPr>
            <w:r>
              <w:rPr>
                <w:sz w:val="16"/>
              </w:rPr>
              <w:t>Decision</w:t>
            </w:r>
          </w:p>
        </w:tc>
        <w:tc>
          <w:tcPr>
            <w:tcW w:type="dxa" w:w="7488"/>
            <w:shd w:fill="F8FAFC"/>
            <w:tcMar>
              <w:top w:w="100" w:type="dxa"/>
              <w:start w:w="120" w:type="dxa"/>
              <w:bottom w:w="100" w:type="dxa"/>
              <w:end w:w="120" w:type="dxa"/>
            </w:tcMar>
            <w:vAlign w:val="center"/>
          </w:tcPr>
          <w:p>
            <w:pPr>
              <w:spacing w:after="0"/>
            </w:pPr>
            <w:r>
              <w:rPr>
                <w:sz w:val="16"/>
              </w:rPr>
              <w:t>Which message approach should be used at the comparison moment?</w:t>
            </w:r>
          </w:p>
        </w:tc>
      </w:tr>
      <w:tr>
        <w:tc>
          <w:tcPr>
            <w:tcW w:type="dxa" w:w="2088"/>
            <w:tcMar>
              <w:top w:w="100" w:type="dxa"/>
              <w:start w:w="120" w:type="dxa"/>
              <w:bottom w:w="100" w:type="dxa"/>
              <w:end w:w="120" w:type="dxa"/>
            </w:tcMar>
            <w:vAlign w:val="center"/>
          </w:tcPr>
          <w:p>
            <w:pPr>
              <w:spacing w:after="0"/>
            </w:pPr>
            <w:r>
              <w:rPr>
                <w:sz w:val="16"/>
              </w:rPr>
              <w:t>Audience</w:t>
            </w:r>
          </w:p>
        </w:tc>
        <w:tc>
          <w:tcPr>
            <w:tcW w:type="dxa" w:w="7488"/>
            <w:tcMar>
              <w:top w:w="100" w:type="dxa"/>
              <w:start w:w="120" w:type="dxa"/>
              <w:bottom w:w="100" w:type="dxa"/>
              <w:end w:w="120" w:type="dxa"/>
            </w:tcMar>
            <w:vAlign w:val="center"/>
          </w:tcPr>
          <w:p>
            <w:pPr>
              <w:spacing w:after="0"/>
            </w:pPr>
            <w:r>
              <w:rPr>
                <w:sz w:val="16"/>
              </w:rPr>
              <w:t>All six baseline personas; equal panel weighting</w:t>
            </w:r>
          </w:p>
        </w:tc>
      </w:tr>
      <w:tr>
        <w:tc>
          <w:tcPr>
            <w:tcW w:type="dxa" w:w="2088"/>
            <w:shd w:fill="F8FAFC"/>
            <w:tcMar>
              <w:top w:w="100" w:type="dxa"/>
              <w:start w:w="120" w:type="dxa"/>
              <w:bottom w:w="100" w:type="dxa"/>
              <w:end w:w="120" w:type="dxa"/>
            </w:tcMar>
            <w:vAlign w:val="center"/>
          </w:tcPr>
          <w:p>
            <w:pPr>
              <w:spacing w:after="0"/>
            </w:pPr>
            <w:r>
              <w:rPr>
                <w:sz w:val="16"/>
              </w:rPr>
              <w:t>Stimulus A</w:t>
            </w:r>
          </w:p>
        </w:tc>
        <w:tc>
          <w:tcPr>
            <w:tcW w:type="dxa" w:w="7488"/>
            <w:shd w:fill="F8FAFC"/>
            <w:tcMar>
              <w:top w:w="100" w:type="dxa"/>
              <w:start w:w="120" w:type="dxa"/>
              <w:bottom w:w="100" w:type="dxa"/>
              <w:end w:w="120" w:type="dxa"/>
            </w:tcMar>
            <w:vAlign w:val="center"/>
          </w:tcPr>
          <w:p>
            <w:pPr>
              <w:spacing w:after="0"/>
            </w:pPr>
            <w:r>
              <w:rPr>
                <w:sz w:val="16"/>
              </w:rPr>
              <w:t>More control: Customize the experience around what matters to you.</w:t>
            </w:r>
          </w:p>
        </w:tc>
      </w:tr>
      <w:tr>
        <w:tc>
          <w:tcPr>
            <w:tcW w:type="dxa" w:w="2088"/>
            <w:tcMar>
              <w:top w:w="100" w:type="dxa"/>
              <w:start w:w="120" w:type="dxa"/>
              <w:bottom w:w="100" w:type="dxa"/>
              <w:end w:w="120" w:type="dxa"/>
            </w:tcMar>
            <w:vAlign w:val="center"/>
          </w:tcPr>
          <w:p>
            <w:pPr>
              <w:spacing w:after="0"/>
            </w:pPr>
            <w:r>
              <w:rPr>
                <w:sz w:val="16"/>
              </w:rPr>
              <w:t>Stimulus B</w:t>
            </w:r>
          </w:p>
        </w:tc>
        <w:tc>
          <w:tcPr>
            <w:tcW w:type="dxa" w:w="7488"/>
            <w:tcMar>
              <w:top w:w="100" w:type="dxa"/>
              <w:start w:w="120" w:type="dxa"/>
              <w:bottom w:w="100" w:type="dxa"/>
              <w:end w:w="120" w:type="dxa"/>
            </w:tcMar>
            <w:vAlign w:val="center"/>
          </w:tcPr>
          <w:p>
            <w:pPr>
              <w:spacing w:after="0"/>
            </w:pPr>
            <w:r>
              <w:rPr>
                <w:sz w:val="16"/>
              </w:rPr>
              <w:t>Everything made simple: One clear plan and the support to move forward.</w:t>
            </w:r>
          </w:p>
        </w:tc>
      </w:tr>
      <w:tr>
        <w:tc>
          <w:tcPr>
            <w:tcW w:type="dxa" w:w="2088"/>
            <w:shd w:fill="F8FAFC"/>
            <w:tcMar>
              <w:top w:w="100" w:type="dxa"/>
              <w:start w:w="120" w:type="dxa"/>
              <w:bottom w:w="100" w:type="dxa"/>
              <w:end w:w="120" w:type="dxa"/>
            </w:tcMar>
            <w:vAlign w:val="center"/>
          </w:tcPr>
          <w:p>
            <w:pPr>
              <w:spacing w:after="0"/>
            </w:pPr>
            <w:r>
              <w:rPr>
                <w:sz w:val="16"/>
              </w:rPr>
              <w:t>Stimulus C</w:t>
            </w:r>
          </w:p>
        </w:tc>
        <w:tc>
          <w:tcPr>
            <w:tcW w:type="dxa" w:w="7488"/>
            <w:shd w:fill="F8FAFC"/>
            <w:tcMar>
              <w:top w:w="100" w:type="dxa"/>
              <w:start w:w="120" w:type="dxa"/>
              <w:bottom w:w="100" w:type="dxa"/>
              <w:end w:w="120" w:type="dxa"/>
            </w:tcMar>
            <w:vAlign w:val="center"/>
          </w:tcPr>
          <w:p>
            <w:pPr>
              <w:spacing w:after="0"/>
            </w:pPr>
            <w:r>
              <w:rPr>
                <w:sz w:val="16"/>
              </w:rPr>
              <w:t>Transparent comparison: See what you get, what it costs, and which option fits.</w:t>
            </w:r>
          </w:p>
        </w:tc>
      </w:tr>
      <w:tr>
        <w:tc>
          <w:tcPr>
            <w:tcW w:type="dxa" w:w="2088"/>
            <w:tcMar>
              <w:top w:w="100" w:type="dxa"/>
              <w:start w:w="120" w:type="dxa"/>
              <w:bottom w:w="100" w:type="dxa"/>
              <w:end w:w="120" w:type="dxa"/>
            </w:tcMar>
            <w:vAlign w:val="center"/>
          </w:tcPr>
          <w:p>
            <w:pPr>
              <w:spacing w:after="0"/>
            </w:pPr>
            <w:r>
              <w:rPr>
                <w:sz w:val="16"/>
              </w:rPr>
              <w:t>Measures</w:t>
            </w:r>
          </w:p>
        </w:tc>
        <w:tc>
          <w:tcPr>
            <w:tcW w:type="dxa" w:w="7488"/>
            <w:tcMar>
              <w:top w:w="100" w:type="dxa"/>
              <w:start w:w="120" w:type="dxa"/>
              <w:bottom w:w="100" w:type="dxa"/>
              <w:end w:w="120" w:type="dxa"/>
            </w:tcMar>
            <w:vAlign w:val="center"/>
          </w:tcPr>
          <w:p>
            <w:pPr>
              <w:spacing w:after="0"/>
            </w:pPr>
            <w:r>
              <w:rPr>
                <w:sz w:val="16"/>
              </w:rPr>
              <w:t>Clarity, relevance, confidence, continuation intent, primary concern</w:t>
            </w:r>
          </w:p>
        </w:tc>
      </w:tr>
      <w:tr>
        <w:tc>
          <w:tcPr>
            <w:tcW w:type="dxa" w:w="2088"/>
            <w:shd w:fill="F8FAFC"/>
            <w:tcMar>
              <w:top w:w="100" w:type="dxa"/>
              <w:start w:w="120" w:type="dxa"/>
              <w:bottom w:w="100" w:type="dxa"/>
              <w:end w:w="120" w:type="dxa"/>
            </w:tcMar>
            <w:vAlign w:val="center"/>
          </w:tcPr>
          <w:p>
            <w:pPr>
              <w:spacing w:after="0"/>
            </w:pPr>
            <w:r>
              <w:rPr>
                <w:sz w:val="16"/>
              </w:rPr>
              <w:t>Output</w:t>
            </w:r>
          </w:p>
        </w:tc>
        <w:tc>
          <w:tcPr>
            <w:tcW w:type="dxa" w:w="7488"/>
            <w:shd w:fill="F8FAFC"/>
            <w:tcMar>
              <w:top w:w="100" w:type="dxa"/>
              <w:start w:w="120" w:type="dxa"/>
              <w:bottom w:w="100" w:type="dxa"/>
              <w:end w:w="120" w:type="dxa"/>
            </w:tcMar>
            <w:vAlign w:val="center"/>
          </w:tcPr>
          <w:p>
            <w:pPr>
              <w:spacing w:after="0"/>
            </w:pPr>
            <w:r>
              <w:rPr>
                <w:sz w:val="16"/>
              </w:rPr>
              <w:t>Segment fit, drivers, objections, recommended treatment, validation needs</w:t>
            </w:r>
          </w:p>
        </w:tc>
      </w:tr>
      <w:tr>
        <w:tc>
          <w:tcPr>
            <w:tcW w:type="dxa" w:w="2088"/>
            <w:tcMar>
              <w:top w:w="100" w:type="dxa"/>
              <w:start w:w="120" w:type="dxa"/>
              <w:bottom w:w="100" w:type="dxa"/>
              <w:end w:w="120" w:type="dxa"/>
            </w:tcMar>
            <w:vAlign w:val="center"/>
          </w:tcPr>
          <w:p>
            <w:pPr>
              <w:spacing w:after="0"/>
            </w:pPr>
            <w:r>
              <w:rPr>
                <w:sz w:val="16"/>
              </w:rPr>
              <w:t>Limitation</w:t>
            </w:r>
          </w:p>
        </w:tc>
        <w:tc>
          <w:tcPr>
            <w:tcW w:type="dxa" w:w="7488"/>
            <w:tcMar>
              <w:top w:w="100" w:type="dxa"/>
              <w:start w:w="120" w:type="dxa"/>
              <w:bottom w:w="100" w:type="dxa"/>
              <w:end w:w="120" w:type="dxa"/>
            </w:tcMar>
            <w:vAlign w:val="center"/>
          </w:tcPr>
          <w:p>
            <w:pPr>
              <w:spacing w:after="0"/>
            </w:pPr>
            <w:r>
              <w:rPr>
                <w:sz w:val="16"/>
              </w:rPr>
              <w:t>Directional synthetic evidence; validate with live behavioral test and holdout</w:t>
            </w:r>
          </w:p>
        </w:tc>
      </w:tr>
    </w:tbl>
    <w:p>
      <w:pPr>
        <w:spacing w:after="20"/>
      </w:pPr>
    </w:p>
    <w:p>
      <w:pPr>
        <w:pStyle w:val="Heading1"/>
        <w:keepNext/>
      </w:pPr>
      <w:r>
        <w:t>7. Illustrative study outcomes</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1080"/>
            <w:shd w:fill="12213A"/>
            <w:tcMar>
              <w:top w:w="100" w:type="dxa"/>
              <w:start w:w="120" w:type="dxa"/>
              <w:bottom w:w="100" w:type="dxa"/>
              <w:end w:w="120" w:type="dxa"/>
            </w:tcMar>
            <w:vAlign w:val="center"/>
          </w:tcPr>
          <w:p>
            <w:pPr>
              <w:jc w:val="left"/>
            </w:pPr>
            <w:r>
              <w:rPr>
                <w:b/>
                <w:color w:val="FFFFFF"/>
                <w:sz w:val="16"/>
              </w:rPr>
              <w:t>Persona</w:t>
            </w:r>
          </w:p>
        </w:tc>
        <w:tc>
          <w:tcPr>
            <w:tcW w:type="dxa" w:w="1728"/>
            <w:shd w:fill="12213A"/>
            <w:tcMar>
              <w:top w:w="100" w:type="dxa"/>
              <w:start w:w="120" w:type="dxa"/>
              <w:bottom w:w="100" w:type="dxa"/>
              <w:end w:w="120" w:type="dxa"/>
            </w:tcMar>
            <w:vAlign w:val="center"/>
          </w:tcPr>
          <w:p>
            <w:pPr>
              <w:jc w:val="left"/>
            </w:pPr>
            <w:r>
              <w:rPr>
                <w:b/>
                <w:color w:val="FFFFFF"/>
                <w:sz w:val="16"/>
              </w:rPr>
              <w:t>Preferred approach</w:t>
            </w:r>
          </w:p>
        </w:tc>
        <w:tc>
          <w:tcPr>
            <w:tcW w:type="dxa" w:w="1512"/>
            <w:shd w:fill="12213A"/>
            <w:tcMar>
              <w:top w:w="100" w:type="dxa"/>
              <w:start w:w="120" w:type="dxa"/>
              <w:bottom w:w="100" w:type="dxa"/>
              <w:end w:w="120" w:type="dxa"/>
            </w:tcMar>
            <w:vAlign w:val="center"/>
          </w:tcPr>
          <w:p>
            <w:pPr>
              <w:jc w:val="left"/>
            </w:pPr>
            <w:r>
              <w:rPr>
                <w:b/>
                <w:color w:val="FFFFFF"/>
                <w:sz w:val="16"/>
              </w:rPr>
              <w:t>Continuation intent / 100</w:t>
            </w:r>
          </w:p>
        </w:tc>
        <w:tc>
          <w:tcPr>
            <w:tcW w:type="dxa" w:w="2520"/>
            <w:shd w:fill="12213A"/>
            <w:tcMar>
              <w:top w:w="100" w:type="dxa"/>
              <w:start w:w="120" w:type="dxa"/>
              <w:bottom w:w="100" w:type="dxa"/>
              <w:end w:w="120" w:type="dxa"/>
            </w:tcMar>
            <w:vAlign w:val="center"/>
          </w:tcPr>
          <w:p>
            <w:pPr>
              <w:jc w:val="left"/>
            </w:pPr>
            <w:r>
              <w:rPr>
                <w:b/>
                <w:color w:val="FFFFFF"/>
                <w:sz w:val="16"/>
              </w:rPr>
              <w:t>Primary driver</w:t>
            </w:r>
          </w:p>
        </w:tc>
        <w:tc>
          <w:tcPr>
            <w:tcW w:type="dxa" w:w="3096"/>
            <w:shd w:fill="12213A"/>
            <w:tcMar>
              <w:top w:w="100" w:type="dxa"/>
              <w:start w:w="120" w:type="dxa"/>
              <w:bottom w:w="100" w:type="dxa"/>
              <w:end w:w="120" w:type="dxa"/>
            </w:tcMar>
            <w:vAlign w:val="center"/>
          </w:tcPr>
          <w:p>
            <w:pPr>
              <w:jc w:val="left"/>
            </w:pPr>
            <w:r>
              <w:rPr>
                <w:b/>
                <w:color w:val="FFFFFF"/>
                <w:sz w:val="16"/>
              </w:rPr>
              <w:t>Primary concern</w:t>
            </w:r>
          </w:p>
        </w:tc>
      </w:tr>
      <w:tr>
        <w:tc>
          <w:tcPr>
            <w:tcW w:type="dxa" w:w="1080"/>
            <w:tcMar>
              <w:top w:w="100" w:type="dxa"/>
              <w:start w:w="120" w:type="dxa"/>
              <w:bottom w:w="100" w:type="dxa"/>
              <w:end w:w="120" w:type="dxa"/>
            </w:tcMar>
            <w:vAlign w:val="center"/>
          </w:tcPr>
          <w:p>
            <w:pPr>
              <w:spacing w:after="0"/>
            </w:pPr>
            <w:r>
              <w:rPr>
                <w:sz w:val="15"/>
              </w:rPr>
              <w:t>Avery</w:t>
            </w:r>
          </w:p>
        </w:tc>
        <w:tc>
          <w:tcPr>
            <w:tcW w:type="dxa" w:w="1728"/>
            <w:tcMar>
              <w:top w:w="100" w:type="dxa"/>
              <w:start w:w="120" w:type="dxa"/>
              <w:bottom w:w="100" w:type="dxa"/>
              <w:end w:w="120" w:type="dxa"/>
            </w:tcMar>
            <w:vAlign w:val="center"/>
          </w:tcPr>
          <w:p>
            <w:pPr>
              <w:spacing w:after="0"/>
            </w:pPr>
            <w:r>
              <w:rPr>
                <w:sz w:val="15"/>
              </w:rPr>
              <w:t>Control</w:t>
            </w:r>
          </w:p>
        </w:tc>
        <w:tc>
          <w:tcPr>
            <w:tcW w:type="dxa" w:w="1512"/>
            <w:tcMar>
              <w:top w:w="100" w:type="dxa"/>
              <w:start w:w="120" w:type="dxa"/>
              <w:bottom w:w="100" w:type="dxa"/>
              <w:end w:w="120" w:type="dxa"/>
            </w:tcMar>
            <w:vAlign w:val="center"/>
          </w:tcPr>
          <w:p>
            <w:pPr>
              <w:spacing w:after="0"/>
            </w:pPr>
            <w:r>
              <w:rPr>
                <w:sz w:val="15"/>
              </w:rPr>
              <w:t>82</w:t>
            </w:r>
          </w:p>
        </w:tc>
        <w:tc>
          <w:tcPr>
            <w:tcW w:type="dxa" w:w="2520"/>
            <w:tcMar>
              <w:top w:w="100" w:type="dxa"/>
              <w:start w:w="120" w:type="dxa"/>
              <w:bottom w:w="100" w:type="dxa"/>
              <w:end w:w="120" w:type="dxa"/>
            </w:tcMar>
            <w:vAlign w:val="center"/>
          </w:tcPr>
          <w:p>
            <w:pPr>
              <w:spacing w:after="0"/>
            </w:pPr>
            <w:r>
              <w:rPr>
                <w:sz w:val="15"/>
              </w:rPr>
              <w:t>Choice and speed</w:t>
            </w:r>
          </w:p>
        </w:tc>
        <w:tc>
          <w:tcPr>
            <w:tcW w:type="dxa" w:w="3096"/>
            <w:tcMar>
              <w:top w:w="100" w:type="dxa"/>
              <w:start w:w="120" w:type="dxa"/>
              <w:bottom w:w="100" w:type="dxa"/>
              <w:end w:w="120" w:type="dxa"/>
            </w:tcMar>
            <w:vAlign w:val="center"/>
          </w:tcPr>
          <w:p>
            <w:pPr>
              <w:spacing w:after="0"/>
            </w:pPr>
            <w:r>
              <w:rPr>
                <w:sz w:val="15"/>
              </w:rPr>
              <w:t>Guidance could become friction</w:t>
            </w:r>
          </w:p>
        </w:tc>
      </w:tr>
      <w:tr>
        <w:tc>
          <w:tcPr>
            <w:tcW w:type="dxa" w:w="1080"/>
            <w:shd w:fill="F8FAFC"/>
            <w:tcMar>
              <w:top w:w="100" w:type="dxa"/>
              <w:start w:w="120" w:type="dxa"/>
              <w:bottom w:w="100" w:type="dxa"/>
              <w:end w:w="120" w:type="dxa"/>
            </w:tcMar>
            <w:vAlign w:val="center"/>
          </w:tcPr>
          <w:p>
            <w:pPr>
              <w:spacing w:after="0"/>
            </w:pPr>
            <w:r>
              <w:rPr>
                <w:sz w:val="15"/>
              </w:rPr>
              <w:t>Riley</w:t>
            </w:r>
          </w:p>
        </w:tc>
        <w:tc>
          <w:tcPr>
            <w:tcW w:type="dxa" w:w="1728"/>
            <w:shd w:fill="F8FAFC"/>
            <w:tcMar>
              <w:top w:w="100" w:type="dxa"/>
              <w:start w:w="120" w:type="dxa"/>
              <w:bottom w:w="100" w:type="dxa"/>
              <w:end w:w="120" w:type="dxa"/>
            </w:tcMar>
            <w:vAlign w:val="center"/>
          </w:tcPr>
          <w:p>
            <w:pPr>
              <w:spacing w:after="0"/>
            </w:pPr>
            <w:r>
              <w:rPr>
                <w:sz w:val="15"/>
              </w:rPr>
              <w:t>Simplicity</w:t>
            </w:r>
          </w:p>
        </w:tc>
        <w:tc>
          <w:tcPr>
            <w:tcW w:type="dxa" w:w="1512"/>
            <w:shd w:fill="F8FAFC"/>
            <w:tcMar>
              <w:top w:w="100" w:type="dxa"/>
              <w:start w:w="120" w:type="dxa"/>
              <w:bottom w:w="100" w:type="dxa"/>
              <w:end w:w="120" w:type="dxa"/>
            </w:tcMar>
            <w:vAlign w:val="center"/>
          </w:tcPr>
          <w:p>
            <w:pPr>
              <w:spacing w:after="0"/>
            </w:pPr>
            <w:r>
              <w:rPr>
                <w:sz w:val="15"/>
              </w:rPr>
              <w:t>78</w:t>
            </w:r>
          </w:p>
        </w:tc>
        <w:tc>
          <w:tcPr>
            <w:tcW w:type="dxa" w:w="2520"/>
            <w:shd w:fill="F8FAFC"/>
            <w:tcMar>
              <w:top w:w="100" w:type="dxa"/>
              <w:start w:w="120" w:type="dxa"/>
              <w:bottom w:w="100" w:type="dxa"/>
              <w:end w:w="120" w:type="dxa"/>
            </w:tcMar>
            <w:vAlign w:val="center"/>
          </w:tcPr>
          <w:p>
            <w:pPr>
              <w:spacing w:after="0"/>
            </w:pPr>
            <w:r>
              <w:rPr>
                <w:sz w:val="15"/>
              </w:rPr>
              <w:t>Confidence and support</w:t>
            </w:r>
          </w:p>
        </w:tc>
        <w:tc>
          <w:tcPr>
            <w:tcW w:type="dxa" w:w="3096"/>
            <w:shd w:fill="F8FAFC"/>
            <w:tcMar>
              <w:top w:w="100" w:type="dxa"/>
              <w:start w:w="120" w:type="dxa"/>
              <w:bottom w:w="100" w:type="dxa"/>
              <w:end w:w="120" w:type="dxa"/>
            </w:tcMar>
            <w:vAlign w:val="center"/>
          </w:tcPr>
          <w:p>
            <w:pPr>
              <w:spacing w:after="0"/>
            </w:pPr>
            <w:r>
              <w:rPr>
                <w:sz w:val="15"/>
              </w:rPr>
              <w:t>Unclear reversibility</w:t>
            </w:r>
          </w:p>
        </w:tc>
      </w:tr>
      <w:tr>
        <w:tc>
          <w:tcPr>
            <w:tcW w:type="dxa" w:w="1080"/>
            <w:tcMar>
              <w:top w:w="100" w:type="dxa"/>
              <w:start w:w="120" w:type="dxa"/>
              <w:bottom w:w="100" w:type="dxa"/>
              <w:end w:w="120" w:type="dxa"/>
            </w:tcMar>
            <w:vAlign w:val="center"/>
          </w:tcPr>
          <w:p>
            <w:pPr>
              <w:spacing w:after="0"/>
            </w:pPr>
            <w:r>
              <w:rPr>
                <w:sz w:val="15"/>
              </w:rPr>
              <w:t>Morgan</w:t>
            </w:r>
          </w:p>
        </w:tc>
        <w:tc>
          <w:tcPr>
            <w:tcW w:type="dxa" w:w="1728"/>
            <w:tcMar>
              <w:top w:w="100" w:type="dxa"/>
              <w:start w:w="120" w:type="dxa"/>
              <w:bottom w:w="100" w:type="dxa"/>
              <w:end w:w="120" w:type="dxa"/>
            </w:tcMar>
            <w:vAlign w:val="center"/>
          </w:tcPr>
          <w:p>
            <w:pPr>
              <w:spacing w:after="0"/>
            </w:pPr>
            <w:r>
              <w:rPr>
                <w:sz w:val="15"/>
              </w:rPr>
              <w:t>Transparent comparison</w:t>
            </w:r>
          </w:p>
        </w:tc>
        <w:tc>
          <w:tcPr>
            <w:tcW w:type="dxa" w:w="1512"/>
            <w:tcMar>
              <w:top w:w="100" w:type="dxa"/>
              <w:start w:w="120" w:type="dxa"/>
              <w:bottom w:w="100" w:type="dxa"/>
              <w:end w:w="120" w:type="dxa"/>
            </w:tcMar>
            <w:vAlign w:val="center"/>
          </w:tcPr>
          <w:p>
            <w:pPr>
              <w:spacing w:after="0"/>
            </w:pPr>
            <w:r>
              <w:rPr>
                <w:sz w:val="15"/>
              </w:rPr>
              <w:t>85</w:t>
            </w:r>
          </w:p>
        </w:tc>
        <w:tc>
          <w:tcPr>
            <w:tcW w:type="dxa" w:w="2520"/>
            <w:tcMar>
              <w:top w:w="100" w:type="dxa"/>
              <w:start w:w="120" w:type="dxa"/>
              <w:bottom w:w="100" w:type="dxa"/>
              <w:end w:w="120" w:type="dxa"/>
            </w:tcMar>
            <w:vAlign w:val="center"/>
          </w:tcPr>
          <w:p>
            <w:pPr>
              <w:spacing w:after="0"/>
            </w:pPr>
            <w:r>
              <w:rPr>
                <w:sz w:val="15"/>
              </w:rPr>
              <w:t>Visible total value</w:t>
            </w:r>
          </w:p>
        </w:tc>
        <w:tc>
          <w:tcPr>
            <w:tcW w:type="dxa" w:w="3096"/>
            <w:tcMar>
              <w:top w:w="100" w:type="dxa"/>
              <w:start w:w="120" w:type="dxa"/>
              <w:bottom w:w="100" w:type="dxa"/>
              <w:end w:w="120" w:type="dxa"/>
            </w:tcMar>
            <w:vAlign w:val="center"/>
          </w:tcPr>
          <w:p>
            <w:pPr>
              <w:spacing w:after="0"/>
            </w:pPr>
            <w:r>
              <w:rPr>
                <w:sz w:val="15"/>
              </w:rPr>
              <w:t>Hidden tradeoffs</w:t>
            </w:r>
          </w:p>
        </w:tc>
      </w:tr>
      <w:tr>
        <w:tc>
          <w:tcPr>
            <w:tcW w:type="dxa" w:w="1080"/>
            <w:shd w:fill="F8FAFC"/>
            <w:tcMar>
              <w:top w:w="100" w:type="dxa"/>
              <w:start w:w="120" w:type="dxa"/>
              <w:bottom w:w="100" w:type="dxa"/>
              <w:end w:w="120" w:type="dxa"/>
            </w:tcMar>
            <w:vAlign w:val="center"/>
          </w:tcPr>
          <w:p>
            <w:pPr>
              <w:spacing w:after="0"/>
            </w:pPr>
            <w:r>
              <w:rPr>
                <w:sz w:val="15"/>
              </w:rPr>
              <w:t>Cameron</w:t>
            </w:r>
          </w:p>
        </w:tc>
        <w:tc>
          <w:tcPr>
            <w:tcW w:type="dxa" w:w="1728"/>
            <w:shd w:fill="F8FAFC"/>
            <w:tcMar>
              <w:top w:w="100" w:type="dxa"/>
              <w:start w:w="120" w:type="dxa"/>
              <w:bottom w:w="100" w:type="dxa"/>
              <w:end w:w="120" w:type="dxa"/>
            </w:tcMar>
            <w:vAlign w:val="center"/>
          </w:tcPr>
          <w:p>
            <w:pPr>
              <w:spacing w:after="0"/>
            </w:pPr>
            <w:r>
              <w:rPr>
                <w:sz w:val="15"/>
              </w:rPr>
              <w:t>Simplicity</w:t>
            </w:r>
          </w:p>
        </w:tc>
        <w:tc>
          <w:tcPr>
            <w:tcW w:type="dxa" w:w="1512"/>
            <w:shd w:fill="F8FAFC"/>
            <w:tcMar>
              <w:top w:w="100" w:type="dxa"/>
              <w:start w:w="120" w:type="dxa"/>
              <w:bottom w:w="100" w:type="dxa"/>
              <w:end w:w="120" w:type="dxa"/>
            </w:tcMar>
            <w:vAlign w:val="center"/>
          </w:tcPr>
          <w:p>
            <w:pPr>
              <w:spacing w:after="0"/>
            </w:pPr>
            <w:r>
              <w:rPr>
                <w:sz w:val="15"/>
              </w:rPr>
              <w:t>74</w:t>
            </w:r>
          </w:p>
        </w:tc>
        <w:tc>
          <w:tcPr>
            <w:tcW w:type="dxa" w:w="2520"/>
            <w:shd w:fill="F8FAFC"/>
            <w:tcMar>
              <w:top w:w="100" w:type="dxa"/>
              <w:start w:w="120" w:type="dxa"/>
              <w:bottom w:w="100" w:type="dxa"/>
              <w:end w:w="120" w:type="dxa"/>
            </w:tcMar>
            <w:vAlign w:val="center"/>
          </w:tcPr>
          <w:p>
            <w:pPr>
              <w:spacing w:after="0"/>
            </w:pPr>
            <w:r>
              <w:rPr>
                <w:sz w:val="15"/>
              </w:rPr>
              <w:t>Low effort and continuity</w:t>
            </w:r>
          </w:p>
        </w:tc>
        <w:tc>
          <w:tcPr>
            <w:tcW w:type="dxa" w:w="3096"/>
            <w:shd w:fill="F8FAFC"/>
            <w:tcMar>
              <w:top w:w="100" w:type="dxa"/>
              <w:start w:w="120" w:type="dxa"/>
              <w:bottom w:w="100" w:type="dxa"/>
              <w:end w:w="120" w:type="dxa"/>
            </w:tcMar>
            <w:vAlign w:val="center"/>
          </w:tcPr>
          <w:p>
            <w:pPr>
              <w:spacing w:after="0"/>
            </w:pPr>
            <w:r>
              <w:rPr>
                <w:sz w:val="15"/>
              </w:rPr>
              <w:t>Change to familiar process</w:t>
            </w:r>
          </w:p>
        </w:tc>
      </w:tr>
      <w:tr>
        <w:tc>
          <w:tcPr>
            <w:tcW w:type="dxa" w:w="1080"/>
            <w:tcMar>
              <w:top w:w="100" w:type="dxa"/>
              <w:start w:w="120" w:type="dxa"/>
              <w:bottom w:w="100" w:type="dxa"/>
              <w:end w:w="120" w:type="dxa"/>
            </w:tcMar>
            <w:vAlign w:val="center"/>
          </w:tcPr>
          <w:p>
            <w:pPr>
              <w:spacing w:after="0"/>
            </w:pPr>
            <w:r>
              <w:rPr>
                <w:sz w:val="15"/>
              </w:rPr>
              <w:t>Taylor</w:t>
            </w:r>
          </w:p>
        </w:tc>
        <w:tc>
          <w:tcPr>
            <w:tcW w:type="dxa" w:w="1728"/>
            <w:tcMar>
              <w:top w:w="100" w:type="dxa"/>
              <w:start w:w="120" w:type="dxa"/>
              <w:bottom w:w="100" w:type="dxa"/>
              <w:end w:w="120" w:type="dxa"/>
            </w:tcMar>
            <w:vAlign w:val="center"/>
          </w:tcPr>
          <w:p>
            <w:pPr>
              <w:spacing w:after="0"/>
            </w:pPr>
            <w:r>
              <w:rPr>
                <w:sz w:val="15"/>
              </w:rPr>
              <w:t>Transparent comparison</w:t>
            </w:r>
          </w:p>
        </w:tc>
        <w:tc>
          <w:tcPr>
            <w:tcW w:type="dxa" w:w="1512"/>
            <w:tcMar>
              <w:top w:w="100" w:type="dxa"/>
              <w:start w:w="120" w:type="dxa"/>
              <w:bottom w:w="100" w:type="dxa"/>
              <w:end w:w="120" w:type="dxa"/>
            </w:tcMar>
            <w:vAlign w:val="center"/>
          </w:tcPr>
          <w:p>
            <w:pPr>
              <w:spacing w:after="0"/>
            </w:pPr>
            <w:r>
              <w:rPr>
                <w:sz w:val="15"/>
              </w:rPr>
              <w:t>80</w:t>
            </w:r>
          </w:p>
        </w:tc>
        <w:tc>
          <w:tcPr>
            <w:tcW w:type="dxa" w:w="2520"/>
            <w:tcMar>
              <w:top w:w="100" w:type="dxa"/>
              <w:start w:w="120" w:type="dxa"/>
              <w:bottom w:w="100" w:type="dxa"/>
              <w:end w:w="120" w:type="dxa"/>
            </w:tcMar>
            <w:vAlign w:val="center"/>
          </w:tcPr>
          <w:p>
            <w:pPr>
              <w:spacing w:after="0"/>
            </w:pPr>
            <w:r>
              <w:rPr>
                <w:sz w:val="15"/>
              </w:rPr>
              <w:t>Evidence and autonomy</w:t>
            </w:r>
          </w:p>
        </w:tc>
        <w:tc>
          <w:tcPr>
            <w:tcW w:type="dxa" w:w="3096"/>
            <w:tcMar>
              <w:top w:w="100" w:type="dxa"/>
              <w:start w:w="120" w:type="dxa"/>
              <w:bottom w:w="100" w:type="dxa"/>
              <w:end w:w="120" w:type="dxa"/>
            </w:tcMar>
            <w:vAlign w:val="center"/>
          </w:tcPr>
          <w:p>
            <w:pPr>
              <w:spacing w:after="0"/>
            </w:pPr>
            <w:r>
              <w:rPr>
                <w:sz w:val="15"/>
              </w:rPr>
              <w:t>Unsupported claims</w:t>
            </w:r>
          </w:p>
        </w:tc>
      </w:tr>
      <w:tr>
        <w:tc>
          <w:tcPr>
            <w:tcW w:type="dxa" w:w="1080"/>
            <w:shd w:fill="F8FAFC"/>
            <w:tcMar>
              <w:top w:w="100" w:type="dxa"/>
              <w:start w:w="120" w:type="dxa"/>
              <w:bottom w:w="100" w:type="dxa"/>
              <w:end w:w="120" w:type="dxa"/>
            </w:tcMar>
            <w:vAlign w:val="center"/>
          </w:tcPr>
          <w:p>
            <w:pPr>
              <w:spacing w:after="0"/>
            </w:pPr>
            <w:r>
              <w:rPr>
                <w:sz w:val="15"/>
              </w:rPr>
              <w:t>Quinn</w:t>
            </w:r>
          </w:p>
        </w:tc>
        <w:tc>
          <w:tcPr>
            <w:tcW w:type="dxa" w:w="1728"/>
            <w:shd w:fill="F8FAFC"/>
            <w:tcMar>
              <w:top w:w="100" w:type="dxa"/>
              <w:start w:w="120" w:type="dxa"/>
              <w:bottom w:w="100" w:type="dxa"/>
              <w:end w:w="120" w:type="dxa"/>
            </w:tcMar>
            <w:vAlign w:val="center"/>
          </w:tcPr>
          <w:p>
            <w:pPr>
              <w:spacing w:after="0"/>
            </w:pPr>
            <w:r>
              <w:rPr>
                <w:sz w:val="15"/>
              </w:rPr>
              <w:t>Simplicity</w:t>
            </w:r>
          </w:p>
        </w:tc>
        <w:tc>
          <w:tcPr>
            <w:tcW w:type="dxa" w:w="1512"/>
            <w:shd w:fill="F8FAFC"/>
            <w:tcMar>
              <w:top w:w="100" w:type="dxa"/>
              <w:start w:w="120" w:type="dxa"/>
              <w:bottom w:w="100" w:type="dxa"/>
              <w:end w:w="120" w:type="dxa"/>
            </w:tcMar>
            <w:vAlign w:val="center"/>
          </w:tcPr>
          <w:p>
            <w:pPr>
              <w:spacing w:after="0"/>
            </w:pPr>
            <w:r>
              <w:rPr>
                <w:sz w:val="15"/>
              </w:rPr>
              <w:t>88</w:t>
            </w:r>
          </w:p>
        </w:tc>
        <w:tc>
          <w:tcPr>
            <w:tcW w:type="dxa" w:w="2520"/>
            <w:shd w:fill="F8FAFC"/>
            <w:tcMar>
              <w:top w:w="100" w:type="dxa"/>
              <w:start w:w="120" w:type="dxa"/>
              <w:bottom w:w="100" w:type="dxa"/>
              <w:end w:w="120" w:type="dxa"/>
            </w:tcMar>
            <w:vAlign w:val="center"/>
          </w:tcPr>
          <w:p>
            <w:pPr>
              <w:spacing w:after="0"/>
            </w:pPr>
            <w:r>
              <w:rPr>
                <w:sz w:val="15"/>
              </w:rPr>
              <w:t>One clear next step</w:t>
            </w:r>
          </w:p>
        </w:tc>
        <w:tc>
          <w:tcPr>
            <w:tcW w:type="dxa" w:w="3096"/>
            <w:shd w:fill="F8FAFC"/>
            <w:tcMar>
              <w:top w:w="100" w:type="dxa"/>
              <w:start w:w="120" w:type="dxa"/>
              <w:bottom w:w="100" w:type="dxa"/>
              <w:end w:w="120" w:type="dxa"/>
            </w:tcMar>
            <w:vAlign w:val="center"/>
          </w:tcPr>
          <w:p>
            <w:pPr>
              <w:spacing w:after="0"/>
            </w:pPr>
            <w:r>
              <w:rPr>
                <w:sz w:val="15"/>
              </w:rPr>
              <w:t>Too many details at once</w:t>
            </w:r>
          </w:p>
        </w:tc>
      </w:tr>
    </w:tbl>
    <w:p>
      <w:pPr>
        <w:spacing w:after="20"/>
      </w:pPr>
    </w:p>
    <w:p>
      <w:pPr>
        <w:pStyle w:val="Heading1"/>
        <w:keepNext/>
      </w:pPr>
      <w:r>
        <w:t>8. Predicted vs. actual demo dataset</w:t>
      </w:r>
    </w:p>
    <w:tbl>
      <w:tblPr>
        <w:tblStyle w:val="TableGrid"/>
        <w:tblW w:type="auto" w:w="0"/>
        <w:jc w:val="center"/>
        <w:tblLayout w:type="fixed"/>
        <w:tblLook w:firstColumn="1" w:firstRow="1" w:lastColumn="0" w:lastRow="0" w:noHBand="0" w:noVBand="1" w:val="04A0"/>
      </w:tblPr>
      <w:tblGrid>
        <w:gridCol w:w="1976"/>
        <w:gridCol w:w="1976"/>
        <w:gridCol w:w="1976"/>
        <w:gridCol w:w="1976"/>
        <w:gridCol w:w="1976"/>
      </w:tblGrid>
      <w:tr>
        <w:trPr>
          <w:tblHeader w:val="true"/>
        </w:trPr>
        <w:tc>
          <w:tcPr>
            <w:tcW w:type="dxa" w:w="2016"/>
            <w:shd w:fill="12213A"/>
            <w:tcMar>
              <w:top w:w="100" w:type="dxa"/>
              <w:start w:w="120" w:type="dxa"/>
              <w:bottom w:w="100" w:type="dxa"/>
              <w:end w:w="120" w:type="dxa"/>
            </w:tcMar>
            <w:vAlign w:val="center"/>
          </w:tcPr>
          <w:p>
            <w:pPr>
              <w:jc w:val="left"/>
            </w:pPr>
            <w:r>
              <w:rPr>
                <w:b/>
                <w:color w:val="FFFFFF"/>
                <w:sz w:val="16"/>
              </w:rPr>
              <w:t>Metric</w:t>
            </w:r>
          </w:p>
        </w:tc>
        <w:tc>
          <w:tcPr>
            <w:tcW w:type="dxa" w:w="1440"/>
            <w:shd w:fill="12213A"/>
            <w:tcMar>
              <w:top w:w="100" w:type="dxa"/>
              <w:start w:w="120" w:type="dxa"/>
              <w:bottom w:w="100" w:type="dxa"/>
              <w:end w:w="120" w:type="dxa"/>
            </w:tcMar>
            <w:vAlign w:val="center"/>
          </w:tcPr>
          <w:p>
            <w:pPr>
              <w:jc w:val="left"/>
            </w:pPr>
            <w:r>
              <w:rPr>
                <w:b/>
                <w:color w:val="FFFFFF"/>
                <w:sz w:val="16"/>
              </w:rPr>
              <w:t>Baseline</w:t>
            </w:r>
          </w:p>
        </w:tc>
        <w:tc>
          <w:tcPr>
            <w:tcW w:type="dxa" w:w="1440"/>
            <w:shd w:fill="12213A"/>
            <w:tcMar>
              <w:top w:w="100" w:type="dxa"/>
              <w:start w:w="120" w:type="dxa"/>
              <w:bottom w:w="100" w:type="dxa"/>
              <w:end w:w="120" w:type="dxa"/>
            </w:tcMar>
            <w:vAlign w:val="center"/>
          </w:tcPr>
          <w:p>
            <w:pPr>
              <w:jc w:val="left"/>
            </w:pPr>
            <w:r>
              <w:rPr>
                <w:b/>
                <w:color w:val="FFFFFF"/>
                <w:sz w:val="16"/>
              </w:rPr>
              <w:t>Predicted</w:t>
            </w:r>
          </w:p>
        </w:tc>
        <w:tc>
          <w:tcPr>
            <w:tcW w:type="dxa" w:w="1440"/>
            <w:shd w:fill="12213A"/>
            <w:tcMar>
              <w:top w:w="100" w:type="dxa"/>
              <w:start w:w="120" w:type="dxa"/>
              <w:bottom w:w="100" w:type="dxa"/>
              <w:end w:w="120" w:type="dxa"/>
            </w:tcMar>
            <w:vAlign w:val="center"/>
          </w:tcPr>
          <w:p>
            <w:pPr>
              <w:jc w:val="left"/>
            </w:pPr>
            <w:r>
              <w:rPr>
                <w:b/>
                <w:color w:val="FFFFFF"/>
                <w:sz w:val="16"/>
              </w:rPr>
              <w:t>Actual</w:t>
            </w:r>
          </w:p>
        </w:tc>
        <w:tc>
          <w:tcPr>
            <w:tcW w:type="dxa" w:w="3168"/>
            <w:shd w:fill="12213A"/>
            <w:tcMar>
              <w:top w:w="100" w:type="dxa"/>
              <w:start w:w="120" w:type="dxa"/>
              <w:bottom w:w="100" w:type="dxa"/>
              <w:end w:w="120" w:type="dxa"/>
            </w:tcMar>
            <w:vAlign w:val="center"/>
          </w:tcPr>
          <w:p>
            <w:pPr>
              <w:jc w:val="left"/>
            </w:pPr>
            <w:r>
              <w:rPr>
                <w:b/>
                <w:color w:val="FFFFFF"/>
                <w:sz w:val="16"/>
              </w:rPr>
              <w:t>Interpretation</w:t>
            </w:r>
          </w:p>
        </w:tc>
      </w:tr>
      <w:tr>
        <w:tc>
          <w:tcPr>
            <w:tcW w:type="dxa" w:w="2016"/>
            <w:tcMar>
              <w:top w:w="100" w:type="dxa"/>
              <w:start w:w="120" w:type="dxa"/>
              <w:bottom w:w="100" w:type="dxa"/>
              <w:end w:w="120" w:type="dxa"/>
            </w:tcMar>
            <w:vAlign w:val="center"/>
          </w:tcPr>
          <w:p>
            <w:pPr>
              <w:spacing w:after="0"/>
            </w:pPr>
            <w:r>
              <w:rPr>
                <w:sz w:val="15"/>
              </w:rPr>
              <w:t>Journey completion</w:t>
            </w:r>
          </w:p>
        </w:tc>
        <w:tc>
          <w:tcPr>
            <w:tcW w:type="dxa" w:w="1440"/>
            <w:tcMar>
              <w:top w:w="100" w:type="dxa"/>
              <w:start w:w="120" w:type="dxa"/>
              <w:bottom w:w="100" w:type="dxa"/>
              <w:end w:w="120" w:type="dxa"/>
            </w:tcMar>
            <w:vAlign w:val="center"/>
          </w:tcPr>
          <w:p>
            <w:pPr>
              <w:spacing w:after="0"/>
            </w:pPr>
            <w:r>
              <w:rPr>
                <w:sz w:val="15"/>
              </w:rPr>
              <w:t>62.0%</w:t>
            </w:r>
          </w:p>
        </w:tc>
        <w:tc>
          <w:tcPr>
            <w:tcW w:type="dxa" w:w="1440"/>
            <w:tcMar>
              <w:top w:w="100" w:type="dxa"/>
              <w:start w:w="120" w:type="dxa"/>
              <w:bottom w:w="100" w:type="dxa"/>
              <w:end w:w="120" w:type="dxa"/>
            </w:tcMar>
            <w:vAlign w:val="center"/>
          </w:tcPr>
          <w:p>
            <w:pPr>
              <w:spacing w:after="0"/>
            </w:pPr>
            <w:r>
              <w:rPr>
                <w:sz w:val="15"/>
              </w:rPr>
              <w:t>67.0%</w:t>
            </w:r>
          </w:p>
        </w:tc>
        <w:tc>
          <w:tcPr>
            <w:tcW w:type="dxa" w:w="1440"/>
            <w:tcMar>
              <w:top w:w="100" w:type="dxa"/>
              <w:start w:w="120" w:type="dxa"/>
              <w:bottom w:w="100" w:type="dxa"/>
              <w:end w:w="120" w:type="dxa"/>
            </w:tcMar>
            <w:vAlign w:val="center"/>
          </w:tcPr>
          <w:p>
            <w:pPr>
              <w:spacing w:after="0"/>
            </w:pPr>
            <w:r>
              <w:rPr>
                <w:sz w:val="15"/>
              </w:rPr>
              <w:t>66.2%</w:t>
            </w:r>
          </w:p>
        </w:tc>
        <w:tc>
          <w:tcPr>
            <w:tcW w:type="dxa" w:w="3168"/>
            <w:tcMar>
              <w:top w:w="100" w:type="dxa"/>
              <w:start w:w="120" w:type="dxa"/>
              <w:bottom w:w="100" w:type="dxa"/>
              <w:end w:w="120" w:type="dxa"/>
            </w:tcMar>
            <w:vAlign w:val="center"/>
          </w:tcPr>
          <w:p>
            <w:pPr>
              <w:spacing w:after="0"/>
            </w:pPr>
            <w:r>
              <w:rPr>
                <w:sz w:val="15"/>
              </w:rPr>
              <w:t>Direction supported; effect slightly lower than predicted</w:t>
            </w:r>
          </w:p>
        </w:tc>
      </w:tr>
      <w:tr>
        <w:tc>
          <w:tcPr>
            <w:tcW w:type="dxa" w:w="2016"/>
            <w:shd w:fill="F8FAFC"/>
            <w:tcMar>
              <w:top w:w="100" w:type="dxa"/>
              <w:start w:w="120" w:type="dxa"/>
              <w:bottom w:w="100" w:type="dxa"/>
              <w:end w:w="120" w:type="dxa"/>
            </w:tcMar>
            <w:vAlign w:val="center"/>
          </w:tcPr>
          <w:p>
            <w:pPr>
              <w:spacing w:after="0"/>
            </w:pPr>
            <w:r>
              <w:rPr>
                <w:sz w:val="15"/>
              </w:rPr>
              <w:t>Comparison exits</w:t>
            </w:r>
          </w:p>
        </w:tc>
        <w:tc>
          <w:tcPr>
            <w:tcW w:type="dxa" w:w="1440"/>
            <w:shd w:fill="F8FAFC"/>
            <w:tcMar>
              <w:top w:w="100" w:type="dxa"/>
              <w:start w:w="120" w:type="dxa"/>
              <w:bottom w:w="100" w:type="dxa"/>
              <w:end w:w="120" w:type="dxa"/>
            </w:tcMar>
            <w:vAlign w:val="center"/>
          </w:tcPr>
          <w:p>
            <w:pPr>
              <w:spacing w:after="0"/>
            </w:pPr>
            <w:r>
              <w:rPr>
                <w:sz w:val="15"/>
              </w:rPr>
              <w:t>24.0%</w:t>
            </w:r>
          </w:p>
        </w:tc>
        <w:tc>
          <w:tcPr>
            <w:tcW w:type="dxa" w:w="1440"/>
            <w:shd w:fill="F8FAFC"/>
            <w:tcMar>
              <w:top w:w="100" w:type="dxa"/>
              <w:start w:w="120" w:type="dxa"/>
              <w:bottom w:w="100" w:type="dxa"/>
              <w:end w:w="120" w:type="dxa"/>
            </w:tcMar>
            <w:vAlign w:val="center"/>
          </w:tcPr>
          <w:p>
            <w:pPr>
              <w:spacing w:after="0"/>
            </w:pPr>
            <w:r>
              <w:rPr>
                <w:sz w:val="15"/>
              </w:rPr>
              <w:t>20.0%</w:t>
            </w:r>
          </w:p>
        </w:tc>
        <w:tc>
          <w:tcPr>
            <w:tcW w:type="dxa" w:w="1440"/>
            <w:shd w:fill="F8FAFC"/>
            <w:tcMar>
              <w:top w:w="100" w:type="dxa"/>
              <w:start w:w="120" w:type="dxa"/>
              <w:bottom w:w="100" w:type="dxa"/>
              <w:end w:w="120" w:type="dxa"/>
            </w:tcMar>
            <w:vAlign w:val="center"/>
          </w:tcPr>
          <w:p>
            <w:pPr>
              <w:spacing w:after="0"/>
            </w:pPr>
            <w:r>
              <w:rPr>
                <w:sz w:val="15"/>
              </w:rPr>
              <w:t>20.8%</w:t>
            </w:r>
          </w:p>
        </w:tc>
        <w:tc>
          <w:tcPr>
            <w:tcW w:type="dxa" w:w="3168"/>
            <w:shd w:fill="F8FAFC"/>
            <w:tcMar>
              <w:top w:w="100" w:type="dxa"/>
              <w:start w:w="120" w:type="dxa"/>
              <w:bottom w:w="100" w:type="dxa"/>
              <w:end w:w="120" w:type="dxa"/>
            </w:tcMar>
            <w:vAlign w:val="center"/>
          </w:tcPr>
          <w:p>
            <w:pPr>
              <w:spacing w:after="0"/>
            </w:pPr>
            <w:r>
              <w:rPr>
                <w:sz w:val="15"/>
              </w:rPr>
              <w:t>Improved, with remaining friction in mobile flow</w:t>
            </w:r>
          </w:p>
        </w:tc>
      </w:tr>
      <w:tr>
        <w:tc>
          <w:tcPr>
            <w:tcW w:type="dxa" w:w="2016"/>
            <w:tcMar>
              <w:top w:w="100" w:type="dxa"/>
              <w:start w:w="120" w:type="dxa"/>
              <w:bottom w:w="100" w:type="dxa"/>
              <w:end w:w="120" w:type="dxa"/>
            </w:tcMar>
            <w:vAlign w:val="center"/>
          </w:tcPr>
          <w:p>
            <w:pPr>
              <w:spacing w:after="0"/>
            </w:pPr>
            <w:r>
              <w:rPr>
                <w:sz w:val="15"/>
              </w:rPr>
              <w:t>Support requests</w:t>
            </w:r>
          </w:p>
        </w:tc>
        <w:tc>
          <w:tcPr>
            <w:tcW w:type="dxa" w:w="1440"/>
            <w:tcMar>
              <w:top w:w="100" w:type="dxa"/>
              <w:start w:w="120" w:type="dxa"/>
              <w:bottom w:w="100" w:type="dxa"/>
              <w:end w:w="120" w:type="dxa"/>
            </w:tcMar>
            <w:vAlign w:val="center"/>
          </w:tcPr>
          <w:p>
            <w:pPr>
              <w:spacing w:after="0"/>
            </w:pPr>
            <w:r>
              <w:rPr>
                <w:sz w:val="15"/>
              </w:rPr>
              <w:t>14.0%</w:t>
            </w:r>
          </w:p>
        </w:tc>
        <w:tc>
          <w:tcPr>
            <w:tcW w:type="dxa" w:w="1440"/>
            <w:tcMar>
              <w:top w:w="100" w:type="dxa"/>
              <w:start w:w="120" w:type="dxa"/>
              <w:bottom w:w="100" w:type="dxa"/>
              <w:end w:w="120" w:type="dxa"/>
            </w:tcMar>
            <w:vAlign w:val="center"/>
          </w:tcPr>
          <w:p>
            <w:pPr>
              <w:spacing w:after="0"/>
            </w:pPr>
            <w:r>
              <w:rPr>
                <w:sz w:val="15"/>
              </w:rPr>
              <w:t>12.0%</w:t>
            </w:r>
          </w:p>
        </w:tc>
        <w:tc>
          <w:tcPr>
            <w:tcW w:type="dxa" w:w="1440"/>
            <w:tcMar>
              <w:top w:w="100" w:type="dxa"/>
              <w:start w:w="120" w:type="dxa"/>
              <w:bottom w:w="100" w:type="dxa"/>
              <w:end w:w="120" w:type="dxa"/>
            </w:tcMar>
            <w:vAlign w:val="center"/>
          </w:tcPr>
          <w:p>
            <w:pPr>
              <w:spacing w:after="0"/>
            </w:pPr>
            <w:r>
              <w:rPr>
                <w:sz w:val="15"/>
              </w:rPr>
              <w:t>11.6%</w:t>
            </w:r>
          </w:p>
        </w:tc>
        <w:tc>
          <w:tcPr>
            <w:tcW w:type="dxa" w:w="3168"/>
            <w:tcMar>
              <w:top w:w="100" w:type="dxa"/>
              <w:start w:w="120" w:type="dxa"/>
              <w:bottom w:w="100" w:type="dxa"/>
              <w:end w:w="120" w:type="dxa"/>
            </w:tcMar>
            <w:vAlign w:val="center"/>
          </w:tcPr>
          <w:p>
            <w:pPr>
              <w:spacing w:after="0"/>
            </w:pPr>
            <w:r>
              <w:rPr>
                <w:sz w:val="15"/>
              </w:rPr>
              <w:t>Guided content reduced reassurance contacts</w:t>
            </w:r>
          </w:p>
        </w:tc>
      </w:tr>
      <w:tr>
        <w:tc>
          <w:tcPr>
            <w:tcW w:type="dxa" w:w="2016"/>
            <w:shd w:fill="F8FAFC"/>
            <w:tcMar>
              <w:top w:w="100" w:type="dxa"/>
              <w:start w:w="120" w:type="dxa"/>
              <w:bottom w:w="100" w:type="dxa"/>
              <w:end w:w="120" w:type="dxa"/>
            </w:tcMar>
            <w:vAlign w:val="center"/>
          </w:tcPr>
          <w:p>
            <w:pPr>
              <w:spacing w:after="0"/>
            </w:pPr>
            <w:r>
              <w:rPr>
                <w:sz w:val="15"/>
              </w:rPr>
              <w:t>Taylor segment completion</w:t>
            </w:r>
          </w:p>
        </w:tc>
        <w:tc>
          <w:tcPr>
            <w:tcW w:type="dxa" w:w="1440"/>
            <w:shd w:fill="F8FAFC"/>
            <w:tcMar>
              <w:top w:w="100" w:type="dxa"/>
              <w:start w:w="120" w:type="dxa"/>
              <w:bottom w:w="100" w:type="dxa"/>
              <w:end w:w="120" w:type="dxa"/>
            </w:tcMar>
            <w:vAlign w:val="center"/>
          </w:tcPr>
          <w:p>
            <w:pPr>
              <w:spacing w:after="0"/>
            </w:pPr>
            <w:r>
              <w:rPr>
                <w:sz w:val="15"/>
              </w:rPr>
              <w:t>58.0%</w:t>
            </w:r>
          </w:p>
        </w:tc>
        <w:tc>
          <w:tcPr>
            <w:tcW w:type="dxa" w:w="1440"/>
            <w:shd w:fill="F8FAFC"/>
            <w:tcMar>
              <w:top w:w="100" w:type="dxa"/>
              <w:start w:w="120" w:type="dxa"/>
              <w:bottom w:w="100" w:type="dxa"/>
              <w:end w:w="120" w:type="dxa"/>
            </w:tcMar>
            <w:vAlign w:val="center"/>
          </w:tcPr>
          <w:p>
            <w:pPr>
              <w:spacing w:after="0"/>
            </w:pPr>
            <w:r>
              <w:rPr>
                <w:sz w:val="15"/>
              </w:rPr>
              <w:t>63.0%</w:t>
            </w:r>
          </w:p>
        </w:tc>
        <w:tc>
          <w:tcPr>
            <w:tcW w:type="dxa" w:w="1440"/>
            <w:shd w:fill="F8FAFC"/>
            <w:tcMar>
              <w:top w:w="100" w:type="dxa"/>
              <w:start w:w="120" w:type="dxa"/>
              <w:bottom w:w="100" w:type="dxa"/>
              <w:end w:w="120" w:type="dxa"/>
            </w:tcMar>
            <w:vAlign w:val="center"/>
          </w:tcPr>
          <w:p>
            <w:pPr>
              <w:spacing w:after="0"/>
            </w:pPr>
            <w:r>
              <w:rPr>
                <w:sz w:val="15"/>
              </w:rPr>
              <w:t>66.0%</w:t>
            </w:r>
          </w:p>
        </w:tc>
        <w:tc>
          <w:tcPr>
            <w:tcW w:type="dxa" w:w="3168"/>
            <w:shd w:fill="F8FAFC"/>
            <w:tcMar>
              <w:top w:w="100" w:type="dxa"/>
              <w:start w:w="120" w:type="dxa"/>
              <w:bottom w:w="100" w:type="dxa"/>
              <w:end w:w="120" w:type="dxa"/>
            </w:tcMar>
            <w:vAlign w:val="center"/>
          </w:tcPr>
          <w:p>
            <w:pPr>
              <w:spacing w:after="0"/>
            </w:pPr>
            <w:r>
              <w:rPr>
                <w:sz w:val="15"/>
              </w:rPr>
              <w:t>Evidence transparency outperformed persona prediction</w:t>
            </w:r>
          </w:p>
        </w:tc>
      </w:tr>
    </w:tbl>
    <w:p>
      <w:pPr>
        <w:spacing w:after="20"/>
      </w:pPr>
    </w:p>
    <w:p>
      <w:pPr>
        <w:pStyle w:val="Heading1"/>
        <w:keepNext/>
      </w:pPr>
      <w:r>
        <w:t>9. UI component inventory</w:t>
      </w:r>
    </w:p>
    <w:p>
      <w:pPr>
        <w:pStyle w:val="ListBullet"/>
      </w:pPr>
      <w:r>
        <w:t>Global: product header, left navigation, breadcrumbs, role chip, search, notifications, reset.</w:t>
      </w:r>
    </w:p>
    <w:p>
      <w:pPr>
        <w:pStyle w:val="ListBullet"/>
      </w:pPr>
      <w:r>
        <w:t>Intelligence: signal card, trend sparkline, confidence badge, evidence chip, freshness timestamp, observed/inferred/predicted label.</w:t>
      </w:r>
    </w:p>
    <w:p>
      <w:pPr>
        <w:pStyle w:val="ListBullet"/>
      </w:pPr>
      <w:r>
        <w:t>Personas: persona card, comparison tray, trait bar, shift indicator, version selector, evidence drawer.</w:t>
      </w:r>
    </w:p>
    <w:p>
      <w:pPr>
        <w:pStyle w:val="ListBullet"/>
      </w:pPr>
      <w:r>
        <w:t>Conversation: chat composer, prompt chip, stimulus attachment, response card, confidence/caveat footer, panel grid, moderator synthesis.</w:t>
      </w:r>
    </w:p>
    <w:p>
      <w:pPr>
        <w:pStyle w:val="ListBullet"/>
      </w:pPr>
      <w:r>
        <w:t>Studies: stepper, persona selector, stimulus card, question builder, measure selector, review summary, processing state, findings tabs.</w:t>
      </w:r>
    </w:p>
    <w:p>
      <w:pPr>
        <w:pStyle w:val="ListBullet"/>
      </w:pPr>
      <w:r>
        <w:t>Journeys: journey rail, moment node, health score, audience comparison, signal timeline, intervention card.</w:t>
      </w:r>
    </w:p>
    <w:p>
      <w:pPr>
        <w:pStyle w:val="ListBullet"/>
      </w:pPr>
      <w:r>
        <w:t>Learning: linked-object timeline, predicted-vs-actual card, variance status, confounder list, update diff, approval panel, audit entry.</w:t>
      </w:r>
    </w:p>
    <w:p>
      <w:pPr>
        <w:pStyle w:val="Heading1"/>
        <w:keepNext/>
      </w:pPr>
      <w:r>
        <w:t>10. Prototype logic</w:t>
      </w:r>
    </w:p>
    <w:tbl>
      <w:tblPr>
        <w:tblStyle w:val="TableGrid"/>
        <w:tblW w:type="auto" w:w="0"/>
        <w:jc w:val="center"/>
        <w:tblLayout w:type="fixed"/>
        <w:tblLook w:firstColumn="1" w:firstRow="1" w:lastColumn="0" w:lastRow="0" w:noHBand="0" w:noVBand="1" w:val="04A0"/>
      </w:tblPr>
      <w:tblGrid>
        <w:gridCol w:w="4939"/>
        <w:gridCol w:w="4939"/>
      </w:tblGrid>
      <w:tr>
        <w:trPr>
          <w:tblHeader w:val="true"/>
        </w:trPr>
        <w:tc>
          <w:tcPr>
            <w:tcW w:type="dxa" w:w="2592"/>
            <w:shd w:fill="12213A"/>
            <w:tcMar>
              <w:top w:w="100" w:type="dxa"/>
              <w:start w:w="120" w:type="dxa"/>
              <w:bottom w:w="100" w:type="dxa"/>
              <w:end w:w="120" w:type="dxa"/>
            </w:tcMar>
            <w:vAlign w:val="center"/>
          </w:tcPr>
          <w:p>
            <w:pPr>
              <w:jc w:val="left"/>
            </w:pPr>
            <w:r>
              <w:rPr>
                <w:b/>
                <w:color w:val="FFFFFF"/>
                <w:sz w:val="16"/>
              </w:rPr>
              <w:t>Trigger</w:t>
            </w:r>
          </w:p>
        </w:tc>
        <w:tc>
          <w:tcPr>
            <w:tcW w:type="dxa" w:w="6984"/>
            <w:shd w:fill="12213A"/>
            <w:tcMar>
              <w:top w:w="100" w:type="dxa"/>
              <w:start w:w="120" w:type="dxa"/>
              <w:bottom w:w="100" w:type="dxa"/>
              <w:end w:w="120" w:type="dxa"/>
            </w:tcMar>
            <w:vAlign w:val="center"/>
          </w:tcPr>
          <w:p>
            <w:pPr>
              <w:jc w:val="left"/>
            </w:pPr>
            <w:r>
              <w:rPr>
                <w:b/>
                <w:color w:val="FFFFFF"/>
                <w:sz w:val="16"/>
              </w:rPr>
              <w:t>Result</w:t>
            </w:r>
          </w:p>
        </w:tc>
      </w:tr>
      <w:tr>
        <w:tc>
          <w:tcPr>
            <w:tcW w:type="dxa" w:w="2592"/>
            <w:tcMar>
              <w:top w:w="100" w:type="dxa"/>
              <w:start w:w="120" w:type="dxa"/>
              <w:bottom w:w="100" w:type="dxa"/>
              <w:end w:w="120" w:type="dxa"/>
            </w:tcMar>
            <w:vAlign w:val="center"/>
          </w:tcPr>
          <w:p>
            <w:pPr>
              <w:spacing w:after="0"/>
            </w:pPr>
            <w:r>
              <w:rPr>
                <w:sz w:val="16"/>
              </w:rPr>
              <w:t>Select journey alert</w:t>
            </w:r>
          </w:p>
        </w:tc>
        <w:tc>
          <w:tcPr>
            <w:tcW w:type="dxa" w:w="6984"/>
            <w:tcMar>
              <w:top w:w="100" w:type="dxa"/>
              <w:start w:w="120" w:type="dxa"/>
              <w:bottom w:w="100" w:type="dxa"/>
              <w:end w:w="120" w:type="dxa"/>
            </w:tcMar>
            <w:vAlign w:val="center"/>
          </w:tcPr>
          <w:p>
            <w:pPr>
              <w:spacing w:after="0"/>
            </w:pPr>
            <w:r>
              <w:rPr>
                <w:sz w:val="16"/>
              </w:rPr>
              <w:t>Loads comparison-moment detail and highlights four affected personas.</w:t>
            </w:r>
          </w:p>
        </w:tc>
      </w:tr>
      <w:tr>
        <w:tc>
          <w:tcPr>
            <w:tcW w:type="dxa" w:w="2592"/>
            <w:shd w:fill="F8FAFC"/>
            <w:tcMar>
              <w:top w:w="100" w:type="dxa"/>
              <w:start w:w="120" w:type="dxa"/>
              <w:bottom w:w="100" w:type="dxa"/>
              <w:end w:w="120" w:type="dxa"/>
            </w:tcMar>
            <w:vAlign w:val="center"/>
          </w:tcPr>
          <w:p>
            <w:pPr>
              <w:spacing w:after="0"/>
            </w:pPr>
            <w:r>
              <w:rPr>
                <w:sz w:val="16"/>
              </w:rPr>
              <w:t>Ask prepared panel question</w:t>
            </w:r>
          </w:p>
        </w:tc>
        <w:tc>
          <w:tcPr>
            <w:tcW w:type="dxa" w:w="6984"/>
            <w:shd w:fill="F8FAFC"/>
            <w:tcMar>
              <w:top w:w="100" w:type="dxa"/>
              <w:start w:w="120" w:type="dxa"/>
              <w:bottom w:w="100" w:type="dxa"/>
              <w:end w:w="120" w:type="dxa"/>
            </w:tcMar>
            <w:vAlign w:val="center"/>
          </w:tcPr>
          <w:p>
            <w:pPr>
              <w:spacing w:after="0"/>
            </w:pPr>
            <w:r>
              <w:rPr>
                <w:sz w:val="16"/>
              </w:rPr>
              <w:t>Reveals six scripted responses, then moderator synthesis.</w:t>
            </w:r>
          </w:p>
        </w:tc>
      </w:tr>
      <w:tr>
        <w:tc>
          <w:tcPr>
            <w:tcW w:type="dxa" w:w="2592"/>
            <w:tcMar>
              <w:top w:w="100" w:type="dxa"/>
              <w:start w:w="120" w:type="dxa"/>
              <w:bottom w:w="100" w:type="dxa"/>
              <w:end w:w="120" w:type="dxa"/>
            </w:tcMar>
            <w:vAlign w:val="center"/>
          </w:tcPr>
          <w:p>
            <w:pPr>
              <w:spacing w:after="0"/>
            </w:pPr>
            <w:r>
              <w:rPr>
                <w:sz w:val="16"/>
              </w:rPr>
              <w:t>Convert to study</w:t>
            </w:r>
          </w:p>
        </w:tc>
        <w:tc>
          <w:tcPr>
            <w:tcW w:type="dxa" w:w="6984"/>
            <w:tcMar>
              <w:top w:w="100" w:type="dxa"/>
              <w:start w:w="120" w:type="dxa"/>
              <w:bottom w:w="100" w:type="dxa"/>
              <w:end w:w="120" w:type="dxa"/>
            </w:tcMar>
            <w:vAlign w:val="center"/>
          </w:tcPr>
          <w:p>
            <w:pPr>
              <w:spacing w:after="0"/>
            </w:pPr>
            <w:r>
              <w:rPr>
                <w:sz w:val="16"/>
              </w:rPr>
              <w:t>Prepopulates decision, personas, stimuli, and measures.</w:t>
            </w:r>
          </w:p>
        </w:tc>
      </w:tr>
      <w:tr>
        <w:tc>
          <w:tcPr>
            <w:tcW w:type="dxa" w:w="2592"/>
            <w:shd w:fill="F8FAFC"/>
            <w:tcMar>
              <w:top w:w="100" w:type="dxa"/>
              <w:start w:w="120" w:type="dxa"/>
              <w:bottom w:w="100" w:type="dxa"/>
              <w:end w:w="120" w:type="dxa"/>
            </w:tcMar>
            <w:vAlign w:val="center"/>
          </w:tcPr>
          <w:p>
            <w:pPr>
              <w:spacing w:after="0"/>
            </w:pPr>
            <w:r>
              <w:rPr>
                <w:sz w:val="16"/>
              </w:rPr>
              <w:t>Run study</w:t>
            </w:r>
          </w:p>
        </w:tc>
        <w:tc>
          <w:tcPr>
            <w:tcW w:type="dxa" w:w="6984"/>
            <w:shd w:fill="F8FAFC"/>
            <w:tcMar>
              <w:top w:w="100" w:type="dxa"/>
              <w:start w:w="120" w:type="dxa"/>
              <w:bottom w:w="100" w:type="dxa"/>
              <w:end w:w="120" w:type="dxa"/>
            </w:tcMar>
            <w:vAlign w:val="center"/>
          </w:tcPr>
          <w:p>
            <w:pPr>
              <w:spacing w:after="0"/>
            </w:pPr>
            <w:r>
              <w:rPr>
                <w:sz w:val="16"/>
              </w:rPr>
              <w:t>Shows staged progress, then the scripted findings state.</w:t>
            </w:r>
          </w:p>
        </w:tc>
      </w:tr>
      <w:tr>
        <w:tc>
          <w:tcPr>
            <w:tcW w:type="dxa" w:w="2592"/>
            <w:tcMar>
              <w:top w:w="100" w:type="dxa"/>
              <w:start w:w="120" w:type="dxa"/>
              <w:bottom w:w="100" w:type="dxa"/>
              <w:end w:w="120" w:type="dxa"/>
            </w:tcMar>
            <w:vAlign w:val="center"/>
          </w:tcPr>
          <w:p>
            <w:pPr>
              <w:spacing w:after="0"/>
            </w:pPr>
            <w:r>
              <w:rPr>
                <w:sz w:val="16"/>
              </w:rPr>
              <w:t>Create activation</w:t>
            </w:r>
          </w:p>
        </w:tc>
        <w:tc>
          <w:tcPr>
            <w:tcW w:type="dxa" w:w="6984"/>
            <w:tcMar>
              <w:top w:w="100" w:type="dxa"/>
              <w:start w:w="120" w:type="dxa"/>
              <w:bottom w:w="100" w:type="dxa"/>
              <w:end w:w="120" w:type="dxa"/>
            </w:tcMar>
            <w:vAlign w:val="center"/>
          </w:tcPr>
          <w:p>
            <w:pPr>
              <w:spacing w:after="0"/>
            </w:pPr>
            <w:r>
              <w:rPr>
                <w:sz w:val="16"/>
              </w:rPr>
              <w:t>Creates activation ACT-1047 linked to study ST-203.</w:t>
            </w:r>
          </w:p>
        </w:tc>
      </w:tr>
      <w:tr>
        <w:tc>
          <w:tcPr>
            <w:tcW w:type="dxa" w:w="2592"/>
            <w:shd w:fill="F8FAFC"/>
            <w:tcMar>
              <w:top w:w="100" w:type="dxa"/>
              <w:start w:w="120" w:type="dxa"/>
              <w:bottom w:w="100" w:type="dxa"/>
              <w:end w:w="120" w:type="dxa"/>
            </w:tcMar>
            <w:vAlign w:val="center"/>
          </w:tcPr>
          <w:p>
            <w:pPr>
              <w:spacing w:after="0"/>
            </w:pPr>
            <w:r>
              <w:rPr>
                <w:sz w:val="16"/>
              </w:rPr>
              <w:t>Mark campaign complete</w:t>
            </w:r>
          </w:p>
        </w:tc>
        <w:tc>
          <w:tcPr>
            <w:tcW w:type="dxa" w:w="6984"/>
            <w:shd w:fill="F8FAFC"/>
            <w:tcMar>
              <w:top w:w="100" w:type="dxa"/>
              <w:start w:w="120" w:type="dxa"/>
              <w:bottom w:w="100" w:type="dxa"/>
              <w:end w:w="120" w:type="dxa"/>
            </w:tcMar>
            <w:vAlign w:val="center"/>
          </w:tcPr>
          <w:p>
            <w:pPr>
              <w:spacing w:after="0"/>
            </w:pPr>
            <w:r>
              <w:rPr>
                <w:sz w:val="16"/>
              </w:rPr>
              <w:t>Loads actual outcomes and reconciliation event LE-0088.</w:t>
            </w:r>
          </w:p>
        </w:tc>
      </w:tr>
      <w:tr>
        <w:tc>
          <w:tcPr>
            <w:tcW w:type="dxa" w:w="2592"/>
            <w:tcMar>
              <w:top w:w="100" w:type="dxa"/>
              <w:start w:w="120" w:type="dxa"/>
              <w:bottom w:w="100" w:type="dxa"/>
              <w:end w:w="120" w:type="dxa"/>
            </w:tcMar>
            <w:vAlign w:val="center"/>
          </w:tcPr>
          <w:p>
            <w:pPr>
              <w:spacing w:after="0"/>
            </w:pPr>
            <w:r>
              <w:rPr>
                <w:sz w:val="16"/>
              </w:rPr>
              <w:t>Approve persona update</w:t>
            </w:r>
          </w:p>
        </w:tc>
        <w:tc>
          <w:tcPr>
            <w:tcW w:type="dxa" w:w="6984"/>
            <w:tcMar>
              <w:top w:w="100" w:type="dxa"/>
              <w:start w:w="120" w:type="dxa"/>
              <w:bottom w:w="100" w:type="dxa"/>
              <w:end w:w="120" w:type="dxa"/>
            </w:tcMar>
            <w:vAlign w:val="center"/>
          </w:tcPr>
          <w:p>
            <w:pPr>
              <w:spacing w:after="0"/>
            </w:pPr>
            <w:r>
              <w:rPr>
                <w:sz w:val="16"/>
              </w:rPr>
              <w:t>Creates Taylor v1.1 and records the approval in history.</w:t>
            </w:r>
          </w:p>
        </w:tc>
      </w:tr>
      <w:tr>
        <w:tc>
          <w:tcPr>
            <w:tcW w:type="dxa" w:w="2592"/>
            <w:shd w:fill="F8FAFC"/>
            <w:tcMar>
              <w:top w:w="100" w:type="dxa"/>
              <w:start w:w="120" w:type="dxa"/>
              <w:bottom w:w="100" w:type="dxa"/>
              <w:end w:w="120" w:type="dxa"/>
            </w:tcMar>
            <w:vAlign w:val="center"/>
          </w:tcPr>
          <w:p>
            <w:pPr>
              <w:spacing w:after="0"/>
            </w:pPr>
            <w:r>
              <w:rPr>
                <w:sz w:val="16"/>
              </w:rPr>
              <w:t>Reset demo</w:t>
            </w:r>
          </w:p>
        </w:tc>
        <w:tc>
          <w:tcPr>
            <w:tcW w:type="dxa" w:w="6984"/>
            <w:shd w:fill="F8FAFC"/>
            <w:tcMar>
              <w:top w:w="100" w:type="dxa"/>
              <w:start w:w="120" w:type="dxa"/>
              <w:bottom w:w="100" w:type="dxa"/>
              <w:end w:w="120" w:type="dxa"/>
            </w:tcMar>
            <w:vAlign w:val="center"/>
          </w:tcPr>
          <w:p>
            <w:pPr>
              <w:spacing w:after="0"/>
            </w:pPr>
            <w:r>
              <w:rPr>
                <w:sz w:val="16"/>
              </w:rPr>
              <w:t>Restores all IDs, statuses, and screens to initial state.</w:t>
            </w:r>
          </w:p>
        </w:tc>
      </w:tr>
    </w:tbl>
    <w:p>
      <w:pPr>
        <w:spacing w:after="20"/>
      </w:pPr>
    </w:p>
    <w:p>
      <w:pPr>
        <w:pStyle w:val="Heading1"/>
        <w:keepNext/>
      </w:pPr>
      <w:r>
        <w:t>11. Acceptance checklist</w:t>
      </w:r>
    </w:p>
    <w:p>
      <w:r>
        <w:t>☐ All six personas have coherent content across card, detail, chat, panel, study, and learning states.</w:t>
      </w:r>
    </w:p>
    <w:p>
      <w:r>
        <w:t>☐ The difference among observed, inferred, and predicted information is visible.</w:t>
      </w:r>
    </w:p>
    <w:p>
      <w:r>
        <w:t>☐ The panel shows individual voices before synthesis.</w:t>
      </w:r>
    </w:p>
    <w:p>
      <w:r>
        <w:t>☐ The study contains a decision, stimuli, method, measures, findings, limitations, and recommendation.</w:t>
      </w:r>
    </w:p>
    <w:p>
      <w:r>
        <w:t>☐ Journey, study, activation, and learning objects share persistent IDs.</w:t>
      </w:r>
    </w:p>
    <w:p>
      <w:r>
        <w:t>☐ Predicted and actual metrics reconcile mathematically and narratively.</w:t>
      </w:r>
    </w:p>
    <w:p>
      <w:r>
        <w:t>☐ The persona update changes only one dynamic trait and records why.</w:t>
      </w:r>
    </w:p>
    <w:p>
      <w:r>
        <w:t>☐ No client, bank, product-vendor, or regulated-industry language remains.</w:t>
      </w:r>
    </w:p>
    <w:p>
      <w:r>
        <w:t>☐ Every synthetic metric and persona is labeled illustrative or fictional in an appropriate location.</w:t>
      </w:r>
    </w:p>
    <w:p>
      <w:r>
        <w:t>☐ The demo can be reset and replayed without stale state.</w:t>
      </w:r>
    </w:p>
    <w:p>
      <w:pPr>
        <w:pStyle w:val="Heading1"/>
        <w:keepNext/>
      </w:pPr>
      <w:r>
        <w:t>12. Build sequencing</w:t>
      </w:r>
    </w:p>
    <w:p>
      <w:pPr>
        <w:pStyle w:val="ListNumber"/>
      </w:pPr>
      <w:r>
        <w:t>Create the data model and synthetic content first.</w:t>
      </w:r>
    </w:p>
    <w:p>
      <w:pPr>
        <w:pStyle w:val="ListNumber"/>
      </w:pPr>
      <w:r>
        <w:t>Build the global shell and route structure.</w:t>
      </w:r>
    </w:p>
    <w:p>
      <w:pPr>
        <w:pStyle w:val="ListNumber"/>
      </w:pPr>
      <w:r>
        <w:t>Implement persona catalog/detail and journey alert.</w:t>
      </w:r>
    </w:p>
    <w:p>
      <w:pPr>
        <w:pStyle w:val="ListNumber"/>
      </w:pPr>
      <w:r>
        <w:t>Implement panel and scripted moderator synthesis.</w:t>
      </w:r>
    </w:p>
    <w:p>
      <w:pPr>
        <w:pStyle w:val="ListNumber"/>
      </w:pPr>
      <w:r>
        <w:t>Implement study setup and findings.</w:t>
      </w:r>
    </w:p>
    <w:p>
      <w:pPr>
        <w:pStyle w:val="ListNumber"/>
      </w:pPr>
      <w:r>
        <w:t>Implement activation brief and learning loop.</w:t>
      </w:r>
    </w:p>
    <w:p>
      <w:pPr>
        <w:pStyle w:val="ListNumber"/>
      </w:pPr>
      <w:r>
        <w:t>Add governance cues, evidence drawers, versioning, and reset.</w:t>
      </w:r>
    </w:p>
    <w:p>
      <w:pPr>
        <w:pStyle w:val="ListNumber"/>
      </w:pPr>
      <w:r>
        <w:t>Perform narrative QA using the happy-path script, then visual and accessibility QA.</w:t>
      </w:r>
    </w:p>
    <w:p>
      <w:pPr>
        <w:pStyle w:val="Heading1"/>
        <w:keepNext/>
      </w:pPr>
      <w:r>
        <w:t>13. Scope change rule</w:t>
      </w:r>
    </w:p>
    <w:tbl>
      <w:tblPr>
        <w:tblW w:type="auto" w:w="0"/>
        <w:jc w:val="center"/>
        <w:tblLayout w:type="autofit"/>
        <w:tblLook w:firstColumn="1" w:firstRow="1" w:lastColumn="0" w:lastRow="0" w:noHBand="0" w:noVBand="1" w:val="04A0"/>
      </w:tblPr>
      <w:tblGrid>
        <w:gridCol w:w="9878"/>
      </w:tblGrid>
      <w:tr>
        <w:tc>
          <w:tcPr>
            <w:tcW w:type="dxa" w:w="9878"/>
            <w:shd w:fill="F3F6FA"/>
            <w:tcMar>
              <w:top w:w="150" w:type="dxa"/>
              <w:start w:w="180" w:type="dxa"/>
              <w:bottom w:w="150" w:type="dxa"/>
              <w:end w:w="180" w:type="dxa"/>
            </w:tcMar>
          </w:tcPr>
          <w:p>
            <w:r>
              <w:rPr>
                <w:b/>
                <w:color w:val="D64545"/>
                <w:sz w:val="16"/>
              </w:rPr>
              <w:t>RULE</w:t>
              <w:br/>
            </w:r>
            <w:r>
              <w:rPr>
                <w:b/>
                <w:color w:val="12213A"/>
                <w:sz w:val="20"/>
              </w:rPr>
              <w:t>A new screen or feature enters MVP only if it is required to complete the primary closed loop or removes a credibility gap in that loop. Otherwise add it to a post-demo backlog.</w:t>
            </w:r>
          </w:p>
        </w:tc>
      </w:tr>
    </w:tbl>
    <w:p>
      <w:pPr>
        <w:spacing w:after="20"/>
      </w:pP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Customer Intelligence Demo | Build blueprint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736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213A"/>
      <w:sz w:val="3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b/>
      <w:bCs/>
      <w:color w:val="165DFF"/>
      <w:sz w:val="28"/>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w:hAnsi="Aptos"/>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221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Clickable Demo Build Blueprint.docx</dc:title>
  <dc:subject>Generic clickable demo development artifact</dc:subject>
  <dc:creator>Customer Intelligence Demo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