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Product Launch Announcement — Trail Tight 2.0</w:t>
      </w:r>
    </w:p>
    <w:p>
      <w:r>
        <w:rPr>
          <w:i/>
          <w:color w:val="666666"/>
        </w:rPr>
        <w:t>Channel: Website + email blast</w:t>
      </w:r>
    </w:p>
    <w:p/>
    <w:p>
      <w:r>
        <w:t>The Trail Tight 2.0 is here.</w:t>
      </w:r>
    </w:p>
    <w:p>
      <w:r>
        <w:t>Updated from version 1: a deeper zip pocket (fits a Pixel 9), reinforced inner-thigh seam, and a slightly higher rise based on 600+ fit-survey responses.</w:t>
      </w:r>
    </w:p>
    <w:p>
      <w:r>
        <w:t>Materials: 78% recycled polyester (GRS-certified, certificate #GRS-2025-NW-118), 22% elastane. Tested for four-way stretch and moisture-wicking per our fabric spec sheet.</w:t>
      </w:r>
    </w:p>
    <w:p>
      <w:r>
        <w:t>Tradeoff to know: heavier than the Featherline tight by about 40 grams. Built for cooler trail runs, not hot-summer track work.</w:t>
      </w:r>
    </w:p>
    <w:p>
      <w:r>
        <w:t>$88. Free US returns for 60 days. In stock in sizes XS-3XL, four colors.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