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524864"/>
      <w:r>
        <w:t xml:space="preserve">Lab 03 - </w:t>
      </w:r>
      <w:r w:rsidR="0055261C">
        <w:t xml:space="preserve">SQL DW </w:t>
      </w:r>
      <w:r w:rsidR="00855941">
        <w:t xml:space="preserve">Data Loading Scenarios and Best Practices </w:t>
      </w:r>
    </w:p>
    <w:p w14:paraId="5EABB24A" w14:textId="1D2E6920" w:rsidR="008A5AE3" w:rsidRDefault="00855941" w:rsidP="00855941">
      <w:pPr>
        <w:pStyle w:val="Heading1"/>
      </w:pPr>
      <w:r>
        <w:t>(ADW In-A-Day Lab 01)</w:t>
      </w:r>
      <w:bookmarkEnd w:id="0"/>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C806EF">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C806EF">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C806EF">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C806EF">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C806EF">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C806EF">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C806EF">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C806EF">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C806EF">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C806EF">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C806EF">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C806EF">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C806EF">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C806EF">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1" w:name="_Toc524865"/>
    </w:p>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r>
        <w:lastRenderedPageBreak/>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19102551" w14:textId="68EE3627" w:rsidR="00C806EF" w:rsidRDefault="00C806EF" w:rsidP="008A5AE3">
      <w:r>
        <w:t xml:space="preserve">The TSQL Script in the GitHub directory, </w:t>
      </w:r>
      <w:r w:rsidR="00B814B9" w:rsidRPr="00B814B9">
        <w:t>02_CreateConnectivity_Blob</w:t>
      </w:r>
      <w:r w:rsidR="00B814B9">
        <w:t xml:space="preserve">.sql and </w:t>
      </w:r>
      <w:r w:rsidRPr="00C806EF">
        <w:t>03_DataLoadingScenarios.sql</w:t>
      </w:r>
      <w:r>
        <w:t xml:space="preserve">, contains the scripts located in the document below.  For ease of use, all the source files are in a blob store with the key provided in the file, </w:t>
      </w:r>
      <w:r w:rsidRPr="00C806EF">
        <w:t>blobkey.txt</w:t>
      </w:r>
      <w:r>
        <w:t xml:space="preserve">.  </w:t>
      </w:r>
    </w:p>
    <w:p w14:paraId="05F4C900" w14:textId="145758E2" w:rsidR="00C806EF" w:rsidRDefault="00C806EF" w:rsidP="008A5AE3">
      <w:pPr>
        <w:rPr>
          <w:rFonts w:ascii="Segoe UI" w:hAnsi="Segoe UI" w:cs="Segoe UI"/>
          <w:color w:val="000000"/>
          <w:shd w:val="clear" w:color="auto" w:fill="FFFFFF"/>
        </w:rPr>
      </w:pPr>
      <w:r>
        <w:t xml:space="preserve">Note: </w:t>
      </w:r>
      <w:r>
        <w:rPr>
          <w:rFonts w:ascii="Segoe UI" w:hAnsi="Segoe UI" w:cs="Segoe UI"/>
          <w:color w:val="000000"/>
          <w:shd w:val="clear" w:color="auto" w:fill="FFFFFF"/>
        </w:rPr>
        <w:t>The following example creates a database scoped credential that can be used to create an </w:t>
      </w:r>
      <w:hyperlink r:id="rId11" w:history="1">
        <w:r>
          <w:rPr>
            <w:rStyle w:val="Hyperlink"/>
            <w:rFonts w:ascii="Segoe UI" w:hAnsi="Segoe UI" w:cs="Segoe UI"/>
            <w:shd w:val="clear" w:color="auto" w:fill="FFFFFF"/>
          </w:rPr>
          <w:t>external data source</w:t>
        </w:r>
      </w:hyperlink>
      <w:r>
        <w:rPr>
          <w:rFonts w:ascii="Segoe UI" w:hAnsi="Segoe UI" w:cs="Segoe UI"/>
          <w:color w:val="000000"/>
          <w:shd w:val="clear" w:color="auto" w:fill="FFFFFF"/>
        </w:rPr>
        <w:t>, which can do bulk operations, such as </w:t>
      </w:r>
      <w:hyperlink r:id="rId12" w:history="1">
        <w:r>
          <w:rPr>
            <w:rStyle w:val="Hyperlink"/>
            <w:rFonts w:ascii="Segoe UI" w:hAnsi="Segoe UI" w:cs="Segoe UI"/>
            <w:shd w:val="clear" w:color="auto" w:fill="FFFFFF"/>
          </w:rPr>
          <w:t>BULK INSERT</w:t>
        </w:r>
      </w:hyperlink>
      <w:r>
        <w:rPr>
          <w:rFonts w:ascii="Segoe UI" w:hAnsi="Segoe UI" w:cs="Segoe UI"/>
          <w:color w:val="000000"/>
          <w:shd w:val="clear" w:color="auto" w:fill="FFFFFF"/>
        </w:rPr>
        <w:t> and </w:t>
      </w:r>
      <w:hyperlink r:id="rId13" w:history="1">
        <w:r>
          <w:rPr>
            <w:rStyle w:val="Hyperlink"/>
            <w:rFonts w:ascii="Segoe UI" w:hAnsi="Segoe UI" w:cs="Segoe UI"/>
            <w:shd w:val="clear" w:color="auto" w:fill="FFFFFF"/>
          </w:rPr>
          <w:t>OPENROWSET</w:t>
        </w:r>
      </w:hyperlink>
      <w:r>
        <w:rPr>
          <w:rFonts w:ascii="Segoe UI" w:hAnsi="Segoe UI" w:cs="Segoe UI"/>
          <w:color w:val="000000"/>
          <w:shd w:val="clear" w:color="auto" w:fill="FFFFFF"/>
        </w:rPr>
        <w:t xml:space="preserve">. Shared Access Signatures cannot be used with </w:t>
      </w:r>
      <w:proofErr w:type="spellStart"/>
      <w:r>
        <w:rPr>
          <w:rFonts w:ascii="Segoe UI" w:hAnsi="Segoe UI" w:cs="Segoe UI"/>
          <w:color w:val="000000"/>
          <w:shd w:val="clear" w:color="auto" w:fill="FFFFFF"/>
        </w:rPr>
        <w:t>PolyBase</w:t>
      </w:r>
      <w:proofErr w:type="spellEnd"/>
      <w:r>
        <w:rPr>
          <w:rFonts w:ascii="Segoe UI" w:hAnsi="Segoe UI" w:cs="Segoe UI"/>
          <w:color w:val="000000"/>
          <w:shd w:val="clear" w:color="auto" w:fill="FFFFFF"/>
        </w:rPr>
        <w:t xml:space="preserve"> in SQL Server, APS or SQL DW.</w:t>
      </w:r>
    </w:p>
    <w:p w14:paraId="75F99F88" w14:textId="44BA1F71" w:rsidR="00C806EF" w:rsidRDefault="00C806EF" w:rsidP="008A5AE3">
      <w:r>
        <w:rPr>
          <w:rFonts w:ascii="Segoe UI" w:hAnsi="Segoe UI" w:cs="Segoe UI"/>
          <w:color w:val="000000"/>
          <w:shd w:val="clear" w:color="auto" w:fill="FFFFFF"/>
        </w:rPr>
        <w:t xml:space="preserve">Reference: </w:t>
      </w:r>
      <w:hyperlink r:id="rId14" w:history="1">
        <w:r>
          <w:rPr>
            <w:rStyle w:val="Hyperlink"/>
          </w:rPr>
          <w:t>https://docs.microsoft.com/en-us/sql/t-sql/statements/create-database-scoped-credential-transact-sql?view=sql-server-2017</w:t>
        </w:r>
      </w:hyperlink>
    </w:p>
    <w:p w14:paraId="59196204" w14:textId="77777777" w:rsidR="00C806EF" w:rsidRDefault="00C806EF" w:rsidP="008A5AE3"/>
    <w:p w14:paraId="7E8FDA59" w14:textId="01826B79" w:rsidR="00C806EF" w:rsidRDefault="00C806EF" w:rsidP="008A5AE3">
      <w:r>
        <w:t xml:space="preserve"> </w:t>
      </w:r>
    </w:p>
    <w:p w14:paraId="5096358B" w14:textId="77777777" w:rsidR="008A5AE3" w:rsidRDefault="008A5AE3" w:rsidP="00855941">
      <w:pPr>
        <w:pStyle w:val="Heading2"/>
      </w:pPr>
      <w:bookmarkStart w:id="2" w:name="_Toc524866"/>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980B0DC" w:rsidR="00121704" w:rsidRDefault="00121704" w:rsidP="00121704">
      <w:pPr>
        <w:pStyle w:val="Heading2"/>
      </w:pPr>
      <w:bookmarkStart w:id="3" w:name="_Toc524867"/>
      <w:r w:rsidRPr="00E46376">
        <w:t>Create your loading objects</w:t>
      </w:r>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E0B457" w:rsidR="00121704" w:rsidRDefault="00121704" w:rsidP="00121704">
      <w:r>
        <w:t>Execute the following TSQLs as admin user (</w:t>
      </w:r>
      <w:proofErr w:type="spellStart"/>
      <w:r>
        <w:t>sql</w:t>
      </w:r>
      <w:r w:rsidR="00DE2FC6">
        <w:t>a</w:t>
      </w:r>
      <w:r>
        <w:t>dmin</w:t>
      </w:r>
      <w:proofErr w:type="spellEnd"/>
      <w:r>
        <w:t>)</w:t>
      </w:r>
    </w:p>
    <w:p w14:paraId="0BEEEDC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MASTER</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KEY</w:t>
      </w:r>
    </w:p>
    <w:p w14:paraId="6824D6F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579C3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411E08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DATABASE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SCOPED</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Ready2019</w:t>
      </w:r>
    </w:p>
    <w:p w14:paraId="3CE0358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IDENTITY</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'mas'</w:t>
      </w:r>
      <w:r w:rsidRPr="26AB87C3">
        <w:rPr>
          <w:rFonts w:ascii="Consolas" w:hAnsi="Consolas" w:cs="Consolas"/>
          <w:color w:val="7F7F7F" w:themeColor="text1" w:themeTint="80"/>
          <w:sz w:val="19"/>
          <w:szCs w:val="19"/>
          <w:highlight w:val="white"/>
        </w:rPr>
        <w:t>,</w:t>
      </w:r>
    </w:p>
    <w:p w14:paraId="00722748"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SECRET</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‘&lt;Access key for your storage account&gt;’</w:t>
      </w:r>
    </w:p>
    <w:p w14:paraId="3659A13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8A8D5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095CA65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DATA</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SOURCE</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Ready_store</w:t>
      </w:r>
      <w:proofErr w:type="spellEnd"/>
    </w:p>
    <w:p w14:paraId="4266DEE7"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7F8228B1"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F601A44"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HADOOP</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4DC883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roofErr w:type="spellStart"/>
      <w:r>
        <w:rPr>
          <w:rFonts w:ascii="Consolas" w:hAnsi="Consolas" w:cs="Consolas"/>
          <w:color w:val="FF0000"/>
          <w:sz w:val="19"/>
          <w:szCs w:val="19"/>
          <w:highlight w:val="white"/>
        </w:rPr>
        <w:t>N'wasbs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usgs</w:t>
      </w:r>
      <w:proofErr w:type="spellEnd"/>
      <w:r w:rsidRPr="0078461A">
        <w:rPr>
          <w:rFonts w:ascii="Consolas" w:hAnsi="Consolas" w:cs="Consolas"/>
          <w:b/>
          <w:color w:val="FF0000"/>
          <w:sz w:val="19"/>
          <w:szCs w:val="19"/>
          <w:highlight w:val="white"/>
        </w:rPr>
        <w:t>@&lt;your storage account name</w:t>
      </w:r>
      <w:proofErr w:type="gramStart"/>
      <w:r w:rsidRPr="0078461A">
        <w:rPr>
          <w:rFonts w:ascii="Consolas" w:hAnsi="Consolas" w:cs="Consolas"/>
          <w:b/>
          <w:color w:val="FF0000"/>
          <w:sz w:val="19"/>
          <w:szCs w:val="19"/>
          <w:highlight w:val="white"/>
        </w:rPr>
        <w:t>&gt;.</w:t>
      </w:r>
      <w:r>
        <w:rPr>
          <w:rFonts w:ascii="Consolas" w:hAnsi="Consolas" w:cs="Consolas"/>
          <w:color w:val="FF0000"/>
          <w:sz w:val="19"/>
          <w:szCs w:val="19"/>
          <w:highlight w:val="white"/>
        </w:rPr>
        <w:t>blob.core.windows.net</w:t>
      </w:r>
      <w:proofErr w:type="gramEnd"/>
      <w:r>
        <w:rPr>
          <w:rFonts w:ascii="Consolas" w:hAnsi="Consolas" w:cs="Consolas"/>
          <w:color w:val="FF0000"/>
          <w:sz w:val="19"/>
          <w:szCs w:val="19"/>
          <w:highlight w:val="white"/>
        </w:rPr>
        <w:t>/'</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B631D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CREDENTIAL</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Ready2019</w:t>
      </w:r>
    </w:p>
    <w:p w14:paraId="24827BF5"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3CDA220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758069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70284F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p>
    <w:p w14:paraId="26B48A1F"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EXTERNAL</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FILE</w:t>
      </w:r>
      <w:r w:rsidRPr="26AB87C3">
        <w:rPr>
          <w:rFonts w:ascii="Consolas" w:hAnsi="Consolas" w:cs="Consolas"/>
          <w:color w:val="000000" w:themeColor="text1"/>
          <w:sz w:val="19"/>
          <w:szCs w:val="19"/>
          <w:highlight w:val="white"/>
        </w:rPr>
        <w:t xml:space="preserve"> </w:t>
      </w:r>
      <w:r>
        <w:rPr>
          <w:rFonts w:ascii="Consolas" w:hAnsi="Consolas" w:cs="Consolas"/>
          <w:color w:val="FF00FF"/>
          <w:sz w:val="19"/>
          <w:szCs w:val="19"/>
          <w:highlight w:val="white"/>
        </w:rPr>
        <w:t>FORMAT</w:t>
      </w:r>
      <w:r w:rsidRPr="26AB87C3">
        <w:rPr>
          <w:rFonts w:ascii="Consolas" w:hAnsi="Consolas" w:cs="Consolas"/>
          <w:color w:val="000000" w:themeColor="text1"/>
          <w:sz w:val="19"/>
          <w:szCs w:val="19"/>
          <w:highlight w:val="white"/>
        </w:rPr>
        <w:t xml:space="preserve"> </w:t>
      </w:r>
      <w:proofErr w:type="spellStart"/>
      <w:r w:rsidRPr="26AB87C3">
        <w:rPr>
          <w:rFonts w:ascii="Consolas" w:hAnsi="Consolas" w:cs="Consolas"/>
          <w:color w:val="000000" w:themeColor="text1"/>
          <w:sz w:val="19"/>
          <w:szCs w:val="19"/>
          <w:highlight w:val="white"/>
        </w:rPr>
        <w:t>TextFileFormat_Ready</w:t>
      </w:r>
      <w:proofErr w:type="spellEnd"/>
      <w:r w:rsidRPr="26AB87C3">
        <w:rPr>
          <w:rFonts w:ascii="Consolas" w:hAnsi="Consolas" w:cs="Consolas"/>
          <w:color w:val="000000" w:themeColor="text1"/>
          <w:sz w:val="19"/>
          <w:szCs w:val="19"/>
          <w:highlight w:val="white"/>
        </w:rPr>
        <w:t xml:space="preserve"> </w:t>
      </w:r>
    </w:p>
    <w:p w14:paraId="7723812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sidRPr="26AB87C3">
        <w:rPr>
          <w:rFonts w:ascii="Consolas" w:hAnsi="Consolas" w:cs="Consolas"/>
          <w:color w:val="000000" w:themeColor="text1"/>
          <w:sz w:val="19"/>
          <w:szCs w:val="19"/>
          <w:highlight w:val="white"/>
        </w:rPr>
        <w:t xml:space="preserve"> </w:t>
      </w:r>
    </w:p>
    <w:p w14:paraId="281FAB36"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61F806D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FORMAT_TYPE</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DELIMITEDTEXT</w:t>
      </w:r>
      <w:r w:rsidRPr="26AB87C3">
        <w:rPr>
          <w:rFonts w:ascii="Consolas" w:hAnsi="Consolas" w:cs="Consolas"/>
          <w:color w:val="7F7F7F" w:themeColor="text1" w:themeTint="80"/>
          <w:sz w:val="19"/>
          <w:szCs w:val="19"/>
          <w:highlight w:val="white"/>
        </w:rPr>
        <w:t>,</w:t>
      </w:r>
    </w:p>
    <w:p w14:paraId="032C3ABC"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FORMAT_OPTIONS</w:t>
      </w:r>
    </w:p>
    <w:p w14:paraId="52D5E7BB"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p>
    <w:p w14:paraId="7327DBE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Pr>
          <w:rFonts w:ascii="Consolas" w:hAnsi="Consolas" w:cs="Consolas"/>
          <w:color w:val="0000FF"/>
          <w:sz w:val="19"/>
          <w:szCs w:val="19"/>
          <w:highlight w:val="white"/>
        </w:rPr>
        <w:t>FIELD_TERMINATOR</w:t>
      </w: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r w:rsidRPr="26AB87C3">
        <w:rPr>
          <w:rFonts w:ascii="Consolas" w:hAnsi="Consolas" w:cs="Consolas"/>
          <w:color w:val="000000" w:themeColor="text1"/>
          <w:sz w:val="19"/>
          <w:szCs w:val="19"/>
          <w:highlight w:val="white"/>
        </w:rPr>
        <w:t xml:space="preserve"> </w:t>
      </w:r>
      <w:r>
        <w:rPr>
          <w:rFonts w:ascii="Consolas" w:hAnsi="Consolas" w:cs="Consolas"/>
          <w:color w:val="FF0000"/>
          <w:sz w:val="19"/>
          <w:szCs w:val="19"/>
          <w:highlight w:val="white"/>
        </w:rPr>
        <w:t>'|'</w:t>
      </w:r>
    </w:p>
    <w:p w14:paraId="5B2D38FD"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000000" w:themeColor="text1"/>
          <w:sz w:val="19"/>
          <w:szCs w:val="19"/>
          <w:highlight w:val="white"/>
        </w:rPr>
        <w:t xml:space="preserve">    </w:t>
      </w:r>
      <w:r w:rsidRPr="26AB87C3">
        <w:rPr>
          <w:rFonts w:ascii="Consolas" w:hAnsi="Consolas" w:cs="Consolas"/>
          <w:color w:val="7F7F7F" w:themeColor="text1" w:themeTint="80"/>
          <w:sz w:val="19"/>
          <w:szCs w:val="19"/>
          <w:highlight w:val="white"/>
        </w:rPr>
        <w:t>)</w:t>
      </w:r>
    </w:p>
    <w:p w14:paraId="70F021BE" w14:textId="3980B0DC" w:rsidR="00121704" w:rsidRDefault="00121704" w:rsidP="00121704">
      <w:pPr>
        <w:autoSpaceDE w:val="0"/>
        <w:autoSpaceDN w:val="0"/>
        <w:adjustRightInd w:val="0"/>
        <w:spacing w:after="0" w:line="240" w:lineRule="auto"/>
        <w:rPr>
          <w:rFonts w:ascii="Consolas" w:hAnsi="Consolas" w:cs="Consolas"/>
          <w:color w:val="000000"/>
          <w:sz w:val="19"/>
          <w:szCs w:val="19"/>
          <w:highlight w:val="white"/>
        </w:rPr>
      </w:pPr>
      <w:r w:rsidRPr="26AB87C3">
        <w:rPr>
          <w:rFonts w:ascii="Consolas" w:hAnsi="Consolas" w:cs="Consolas"/>
          <w:color w:val="7F7F7F" w:themeColor="text1" w:themeTint="80"/>
          <w:sz w:val="19"/>
          <w:szCs w:val="19"/>
          <w:highlight w:val="white"/>
        </w:rPr>
        <w:t>)</w:t>
      </w:r>
    </w:p>
    <w:p w14:paraId="474B5C13" w14:textId="3980B0DC" w:rsidR="00121704" w:rsidRDefault="00121704" w:rsidP="00121704">
      <w:r>
        <w:rPr>
          <w:rFonts w:ascii="Consolas" w:hAnsi="Consolas" w:cs="Consolas"/>
          <w:color w:val="0000FF"/>
          <w:sz w:val="19"/>
          <w:szCs w:val="19"/>
          <w:highlight w:val="white"/>
        </w:rPr>
        <w:t>GO</w:t>
      </w:r>
    </w:p>
    <w:p w14:paraId="3CADF080" w14:textId="538AFEB8" w:rsidR="003907BD" w:rsidRDefault="003907BD" w:rsidP="003907B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3B7E5FFE"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p>
    <w:p w14:paraId="7A35620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CFE5658"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4369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4566F9"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8C3F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C80D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98920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27C88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459C2A"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4FA62"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048656A6"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0B6D80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894C97"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B4C3FD5"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7399555" w14:textId="77777777" w:rsidR="003907BD" w:rsidRDefault="003907BD" w:rsidP="003907BD">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4BCD5F7" w14:textId="3980B0DC" w:rsidR="00121704" w:rsidRDefault="00121704" w:rsidP="00855941">
      <w:pPr>
        <w:pStyle w:val="Heading2"/>
      </w:pPr>
    </w:p>
    <w:p w14:paraId="74938E30" w14:textId="4120AE4A" w:rsidR="008A5AE3" w:rsidRDefault="008A5AE3" w:rsidP="00855941">
      <w:pPr>
        <w:pStyle w:val="Heading2"/>
      </w:pPr>
      <w:r>
        <w:t>Connect to your SQL Data Warehouse</w:t>
      </w:r>
      <w:bookmarkEnd w:id="3"/>
      <w:r w:rsidR="00BA68E7">
        <w:t xml:space="preserve"> as loading user</w:t>
      </w:r>
    </w:p>
    <w:p w14:paraId="16A4D576" w14:textId="40BE92EC" w:rsidR="008A5AE3" w:rsidRDefault="008A5AE3" w:rsidP="008A5AE3">
      <w:pPr>
        <w:rPr>
          <w:sz w:val="24"/>
          <w:szCs w:val="28"/>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6A17502F" w14:textId="362C49C2" w:rsidR="001441E5" w:rsidRDefault="001441E5" w:rsidP="008A5AE3">
      <w:pPr>
        <w:rPr>
          <w:rFonts w:ascii="Consolas" w:eastAsia="Times New Roman" w:hAnsi="Consolas" w:cs="Times New Roman"/>
          <w:color w:val="D4D4D4"/>
          <w:sz w:val="21"/>
          <w:szCs w:val="21"/>
        </w:rPr>
      </w:pPr>
      <w:r>
        <w:rPr>
          <w:sz w:val="24"/>
          <w:szCs w:val="28"/>
        </w:rPr>
        <w:t>These Scripts are in 04_DataLoadingAsLoadingUser.sql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4" w:name="_Toc524869"/>
      <w:r w:rsidRPr="00F850DD">
        <w:t xml:space="preserve">Impact of file format on </w:t>
      </w:r>
      <w:r>
        <w:t>l</w:t>
      </w:r>
      <w:r w:rsidRPr="00F850DD">
        <w:t>oading</w:t>
      </w:r>
      <w:bookmarkEnd w:id="4"/>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w:t>
      </w:r>
      <w:r>
        <w:lastRenderedPageBreak/>
        <w:t xml:space="preserve">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66E779FA" w:rsidR="008A5AE3" w:rsidRDefault="008A5AE3" w:rsidP="00855941">
      <w:pPr>
        <w:pStyle w:val="Heading3"/>
        <w:rPr>
          <w:rFonts w:eastAsiaTheme="minorHAnsi"/>
        </w:rPr>
      </w:pPr>
      <w:bookmarkStart w:id="5" w:name="_Toc524870"/>
      <w:r w:rsidRPr="00DB6D1C">
        <w:rPr>
          <w:rFonts w:eastAsiaTheme="minorHAnsi"/>
        </w:rPr>
        <w:t>Delimited Text</w:t>
      </w:r>
      <w:bookmarkEnd w:id="5"/>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bookmarkStart w:id="6" w:name="_GoBack"/>
    </w:p>
    <w:bookmarkEnd w:id="6"/>
    <w:p w14:paraId="7F383274" w14:textId="4DB3414E" w:rsidR="008A5AE3" w:rsidRDefault="008A5AE3" w:rsidP="008A5AE3">
      <w:r>
        <w:t>While this is running you can view the steps with the Dynamic Management Views (DMV</w:t>
      </w:r>
      <w:r w:rsidR="007E4DC3">
        <w:t>s</w:t>
      </w:r>
      <w:r>
        <w:t xml:space="preserve">) </w:t>
      </w:r>
    </w:p>
    <w:p w14:paraId="49084CA9" w14:textId="1B95A12B" w:rsidR="000C7243" w:rsidRDefault="000C7243" w:rsidP="008A5AE3">
      <w:r>
        <w:lastRenderedPageBreak/>
        <w:t xml:space="preserve">Open another Query windows </w:t>
      </w:r>
      <w:r w:rsidR="00690C51">
        <w:t xml:space="preserve">as admin user </w:t>
      </w:r>
      <w:r>
        <w:t>and execute</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677BC76B" w:rsidR="008A5AE3" w:rsidRDefault="008A5AE3" w:rsidP="008A5AE3"/>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5E7CE4A3" w:rsidR="008A5AE3" w:rsidRDefault="008A5AE3" w:rsidP="00855941">
      <w:pPr>
        <w:pStyle w:val="Heading3"/>
      </w:pPr>
      <w:bookmarkStart w:id="7" w:name="_Toc524871"/>
      <w:r w:rsidRPr="00DB6D1C">
        <w:t>Parquet</w:t>
      </w:r>
      <w:bookmarkEnd w:id="7"/>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1E3C48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39F745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E3B1D3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CDC40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8B30F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6667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A56C2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333F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2487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6297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498F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p>
    <w:p w14:paraId="43021B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2DD2A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Parquet_files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BB8F1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[Parquet]</w:t>
      </w:r>
      <w:r>
        <w:rPr>
          <w:rFonts w:ascii="Consolas" w:hAnsi="Consolas" w:cs="Consolas"/>
          <w:color w:val="808080"/>
          <w:sz w:val="19"/>
          <w:szCs w:val="19"/>
          <w:highlight w:val="white"/>
        </w:rPr>
        <w:t>,</w:t>
      </w:r>
    </w:p>
    <w:p w14:paraId="6B6DF19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73DA5EE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B77F2E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3AD5A4F" w14:textId="5B49D45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9CE9356" w14:textId="64BFC66F"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lastRenderedPageBreak/>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0755725A" w:rsidR="008A5AE3" w:rsidRDefault="008A5AE3" w:rsidP="00855941">
      <w:pPr>
        <w:pStyle w:val="Heading3"/>
      </w:pPr>
      <w:bookmarkStart w:id="8" w:name="_Toc524872"/>
      <w:r w:rsidRPr="00DB6D1C">
        <w:t>GZIP Compressed Delimited Text</w:t>
      </w:r>
      <w:bookmarkEnd w:id="8"/>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N'org.apache.hadoop.io.compress</w:t>
      </w:r>
      <w:proofErr w:type="gramEnd"/>
      <w:r>
        <w:rPr>
          <w:rFonts w:ascii="Consolas" w:hAnsi="Consolas" w:cs="Consolas"/>
          <w:color w:val="FF0000"/>
          <w:sz w:val="19"/>
          <w:szCs w:val="19"/>
          <w:highlight w:val="white"/>
        </w:rPr>
        <w:t>.GzipCodec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DDF3E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872AF8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2C4D6B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6DE9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B4BD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BC5C19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A183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4701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2305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8C20C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AD2D18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4BC1F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01DB2F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E66F1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N'loading</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factWeatherMeasurements</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Compressed_Text_files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E3FA1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A1AAC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3C5159B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7EBCDD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43D34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11B18505" w:rsidR="008A5AE3" w:rsidRPr="004E07EF" w:rsidRDefault="008A5AE3" w:rsidP="00855941">
      <w:pPr>
        <w:pStyle w:val="Heading2"/>
      </w:pPr>
      <w:bookmarkStart w:id="9" w:name="_Toc524873"/>
      <w:r w:rsidRPr="004E07EF">
        <w:t>Impact of Single File Compression</w:t>
      </w:r>
      <w:bookmarkEnd w:id="9"/>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E11FCE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STG_factWeatherMeasurements_CompressedText_single_file]</w:t>
      </w:r>
    </w:p>
    <w:p w14:paraId="2320C42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3B12AF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6D1F16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2767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5AAD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6D0F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0F292D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F7FC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AEDA2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6F2E92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4FE7236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45328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DATA_SOURCE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Ready_store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6AF58C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N'loading/factWeatherMeasurements/singlefile/Compressed_Text_files'</w:t>
      </w:r>
      <w:r>
        <w:rPr>
          <w:rFonts w:ascii="Consolas" w:hAnsi="Consolas" w:cs="Consolas"/>
          <w:color w:val="808080"/>
          <w:sz w:val="19"/>
          <w:szCs w:val="19"/>
          <w:highlight w:val="white"/>
        </w:rPr>
        <w:t>,</w:t>
      </w:r>
    </w:p>
    <w:p w14:paraId="0FEDA2F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FILE_FORMAT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A9080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p>
    <w:p w14:paraId="048EE7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REJECT_VALUE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794CFD0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p>
    <w:p w14:paraId="62A5F353" w14:textId="1374B3E9" w:rsidR="008A5AE3" w:rsidRDefault="008A5AE3" w:rsidP="008A5AE3"/>
    <w:p w14:paraId="4ADD945D" w14:textId="403A300F" w:rsidR="008A5AE3" w:rsidRDefault="008A5AE3" w:rsidP="00855941">
      <w:pPr>
        <w:pStyle w:val="Heading2"/>
      </w:pPr>
      <w:bookmarkStart w:id="10" w:name="_Toc524874"/>
      <w:r w:rsidRPr="005F6CA1">
        <w:t xml:space="preserve">Impact of </w:t>
      </w:r>
      <w:r>
        <w:t>Table Distribution on loading</w:t>
      </w:r>
      <w:bookmarkEnd w:id="10"/>
      <w:r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08D48BDD"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lastRenderedPageBreak/>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w:t>
      </w:r>
      <w:proofErr w:type="gramStart"/>
      <w:r>
        <w:t>all of</w:t>
      </w:r>
      <w:proofErr w:type="gramEnd"/>
      <w:r>
        <w:t xml:space="preserve">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1" w:name="_Toc524875"/>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1"/>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STG_Hash_ReadingUnit</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317A5126" w:rsidR="008A5AE3" w:rsidRDefault="008A5AE3" w:rsidP="00855941">
      <w:pPr>
        <w:pStyle w:val="Heading2"/>
      </w:pPr>
      <w:bookmarkStart w:id="12" w:name="_Toc524876"/>
      <w:r w:rsidRPr="00131CDE">
        <w:lastRenderedPageBreak/>
        <w:t>Impact of CTAS vs Insert into Select</w:t>
      </w:r>
      <w:bookmarkEnd w:id="12"/>
      <w:r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14:paraId="2DD963C2" w14:textId="77777777" w:rsidR="008A5AE3" w:rsidRDefault="008A5AE3" w:rsidP="00855941">
      <w:pPr>
        <w:pStyle w:val="Heading2"/>
      </w:pPr>
      <w:bookmarkStart w:id="13" w:name="_Toc524877"/>
      <w:r w:rsidRPr="001B2363">
        <w:t>Closing</w:t>
      </w:r>
      <w:bookmarkEnd w:id="13"/>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4" w:name="_Toc524878"/>
      <w:r>
        <w:lastRenderedPageBreak/>
        <w:t>Side Bar: Simplified loading experience with COPY Command (out soon)</w:t>
      </w:r>
      <w:bookmarkEnd w:id="14"/>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8000"/>
          <w:sz w:val="19"/>
          <w:szCs w:val="19"/>
        </w:rPr>
        <w:t>--The wildcard operator '*' in the file path means SQL DW will automatically 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p>
    <w:p w14:paraId="762AB0E6" w14:textId="77777777" w:rsidR="008A5AE3" w:rsidRPr="001B2363" w:rsidRDefault="008A5AE3" w:rsidP="008A5AE3"/>
    <w:p w14:paraId="7B4D770F" w14:textId="77777777" w:rsidR="00192575" w:rsidRPr="008A5AE3" w:rsidRDefault="00192575" w:rsidP="008A5AE3"/>
    <w:sectPr w:rsidR="00192575" w:rsidRPr="008A5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A6EEE" w14:textId="77777777" w:rsidR="00831A36" w:rsidRDefault="00831A36" w:rsidP="004022F7">
      <w:pPr>
        <w:spacing w:after="0" w:line="240" w:lineRule="auto"/>
      </w:pPr>
      <w:r>
        <w:separator/>
      </w:r>
    </w:p>
  </w:endnote>
  <w:endnote w:type="continuationSeparator" w:id="0">
    <w:p w14:paraId="023A4A37" w14:textId="77777777" w:rsidR="00831A36" w:rsidRDefault="00831A36" w:rsidP="004022F7">
      <w:pPr>
        <w:spacing w:after="0" w:line="240" w:lineRule="auto"/>
      </w:pPr>
      <w:r>
        <w:continuationSeparator/>
      </w:r>
    </w:p>
  </w:endnote>
  <w:endnote w:type="continuationNotice" w:id="1">
    <w:p w14:paraId="09569EAB" w14:textId="77777777" w:rsidR="00831A36" w:rsidRDefault="00831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6679" w14:textId="77777777" w:rsidR="00831A36" w:rsidRDefault="00831A36" w:rsidP="004022F7">
      <w:pPr>
        <w:spacing w:after="0" w:line="240" w:lineRule="auto"/>
      </w:pPr>
      <w:r>
        <w:separator/>
      </w:r>
    </w:p>
  </w:footnote>
  <w:footnote w:type="continuationSeparator" w:id="0">
    <w:p w14:paraId="3C184F94" w14:textId="77777777" w:rsidR="00831A36" w:rsidRDefault="00831A36" w:rsidP="004022F7">
      <w:pPr>
        <w:spacing w:after="0" w:line="240" w:lineRule="auto"/>
      </w:pPr>
      <w:r>
        <w:continuationSeparator/>
      </w:r>
    </w:p>
  </w:footnote>
  <w:footnote w:type="continuationNotice" w:id="1">
    <w:p w14:paraId="3D8CCFC1" w14:textId="77777777" w:rsidR="00831A36" w:rsidRDefault="00831A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79A0"/>
    <w:rsid w:val="00021CEF"/>
    <w:rsid w:val="000334EC"/>
    <w:rsid w:val="00090EF1"/>
    <w:rsid w:val="00092A75"/>
    <w:rsid w:val="000C7243"/>
    <w:rsid w:val="000F60F8"/>
    <w:rsid w:val="0010659F"/>
    <w:rsid w:val="00120B81"/>
    <w:rsid w:val="00121704"/>
    <w:rsid w:val="00131CDE"/>
    <w:rsid w:val="0013459C"/>
    <w:rsid w:val="001441E5"/>
    <w:rsid w:val="001660A1"/>
    <w:rsid w:val="00192575"/>
    <w:rsid w:val="001A6CB0"/>
    <w:rsid w:val="001C3956"/>
    <w:rsid w:val="001F0E5C"/>
    <w:rsid w:val="001F48FC"/>
    <w:rsid w:val="002244CD"/>
    <w:rsid w:val="00227EB1"/>
    <w:rsid w:val="00250759"/>
    <w:rsid w:val="00255B5E"/>
    <w:rsid w:val="00262CDA"/>
    <w:rsid w:val="002653F5"/>
    <w:rsid w:val="0027214C"/>
    <w:rsid w:val="002826BC"/>
    <w:rsid w:val="002879BA"/>
    <w:rsid w:val="002919D0"/>
    <w:rsid w:val="0029337C"/>
    <w:rsid w:val="002B7603"/>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64FE"/>
    <w:rsid w:val="00440BBE"/>
    <w:rsid w:val="00444991"/>
    <w:rsid w:val="0046317E"/>
    <w:rsid w:val="00470B3A"/>
    <w:rsid w:val="00472AEF"/>
    <w:rsid w:val="00487BBB"/>
    <w:rsid w:val="00487F27"/>
    <w:rsid w:val="004A48D0"/>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7B5A"/>
    <w:rsid w:val="0055261C"/>
    <w:rsid w:val="00566C8C"/>
    <w:rsid w:val="00587809"/>
    <w:rsid w:val="00592405"/>
    <w:rsid w:val="005A1375"/>
    <w:rsid w:val="005A5082"/>
    <w:rsid w:val="005C0DE8"/>
    <w:rsid w:val="005D5B84"/>
    <w:rsid w:val="005F6CA1"/>
    <w:rsid w:val="00611DEB"/>
    <w:rsid w:val="006143C9"/>
    <w:rsid w:val="0061636D"/>
    <w:rsid w:val="00635849"/>
    <w:rsid w:val="00637C1E"/>
    <w:rsid w:val="00646DE0"/>
    <w:rsid w:val="006547AC"/>
    <w:rsid w:val="00690C51"/>
    <w:rsid w:val="00692053"/>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1926"/>
    <w:rsid w:val="00913611"/>
    <w:rsid w:val="00914907"/>
    <w:rsid w:val="00925EC9"/>
    <w:rsid w:val="0095735E"/>
    <w:rsid w:val="00970461"/>
    <w:rsid w:val="00973BF7"/>
    <w:rsid w:val="00977B99"/>
    <w:rsid w:val="009B3458"/>
    <w:rsid w:val="009D741F"/>
    <w:rsid w:val="00A0150C"/>
    <w:rsid w:val="00A22B00"/>
    <w:rsid w:val="00A3037A"/>
    <w:rsid w:val="00A550C2"/>
    <w:rsid w:val="00A67250"/>
    <w:rsid w:val="00A71028"/>
    <w:rsid w:val="00A803A2"/>
    <w:rsid w:val="00AA5328"/>
    <w:rsid w:val="00AC3B82"/>
    <w:rsid w:val="00AC72FD"/>
    <w:rsid w:val="00AF31B4"/>
    <w:rsid w:val="00B25057"/>
    <w:rsid w:val="00B37A41"/>
    <w:rsid w:val="00B72783"/>
    <w:rsid w:val="00B76BCB"/>
    <w:rsid w:val="00B814B9"/>
    <w:rsid w:val="00B875E1"/>
    <w:rsid w:val="00BA0462"/>
    <w:rsid w:val="00BA6867"/>
    <w:rsid w:val="00BA68E7"/>
    <w:rsid w:val="00BC44BC"/>
    <w:rsid w:val="00BD088C"/>
    <w:rsid w:val="00BD55A7"/>
    <w:rsid w:val="00BF06ED"/>
    <w:rsid w:val="00C01514"/>
    <w:rsid w:val="00C72666"/>
    <w:rsid w:val="00C806EF"/>
    <w:rsid w:val="00C83F14"/>
    <w:rsid w:val="00CA77E2"/>
    <w:rsid w:val="00D16AA2"/>
    <w:rsid w:val="00D33FC7"/>
    <w:rsid w:val="00D762C2"/>
    <w:rsid w:val="00DA5643"/>
    <w:rsid w:val="00DB6D1C"/>
    <w:rsid w:val="00DC0CA1"/>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410A"/>
    <w:rsid w:val="00F01B52"/>
    <w:rsid w:val="00F275B2"/>
    <w:rsid w:val="00F8159E"/>
    <w:rsid w:val="00F850DD"/>
    <w:rsid w:val="00F85557"/>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3.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A182E4-E94E-4DD7-830B-843D0001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14</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128</cp:revision>
  <dcterms:created xsi:type="dcterms:W3CDTF">2019-02-05T04:01:00Z</dcterms:created>
  <dcterms:modified xsi:type="dcterms:W3CDTF">2019-08-27T22:39:00Z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