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lrfy6498vv8" w:id="0"/>
      <w:bookmarkEnd w:id="0"/>
      <w:r w:rsidDel="00000000" w:rsidR="00000000" w:rsidRPr="00000000">
        <w:rPr>
          <w:rtl w:val="0"/>
        </w:rPr>
        <w:t xml:space="preserve">CFG-001 — Configuration Ownership</w:t>
      </w:r>
    </w:p>
    <w:p w:rsidR="00000000" w:rsidDel="00000000" w:rsidP="00000000" w:rsidRDefault="00000000" w:rsidRPr="00000000" w14:paraId="00000002">
      <w:pPr>
        <w:rPr/>
      </w:pPr>
      <w:r w:rsidDel="00000000" w:rsidR="00000000" w:rsidRPr="00000000">
        <w:rPr>
          <w:rtl w:val="0"/>
        </w:rPr>
        <w:t xml:space="preserve">Decision ID: CFG-001</w:t>
      </w:r>
    </w:p>
    <w:p w:rsidR="00000000" w:rsidDel="00000000" w:rsidP="00000000" w:rsidRDefault="00000000" w:rsidRPr="00000000" w14:paraId="00000003">
      <w:pPr>
        <w:rPr/>
      </w:pPr>
      <w:r w:rsidDel="00000000" w:rsidR="00000000" w:rsidRPr="00000000">
        <w:rPr>
          <w:rtl w:val="0"/>
        </w:rPr>
        <w:t xml:space="preserve">Workbook Decision ID: DEC-CFG-001</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2026-07-12T09:22:16.752Z</w:t>
      </w:r>
    </w:p>
    <w:p w:rsidR="00000000" w:rsidDel="00000000" w:rsidP="00000000" w:rsidRDefault="00000000" w:rsidRPr="00000000" w14:paraId="00000006">
      <w:pPr>
        <w:rPr/>
      </w:pPr>
      <w:r w:rsidDel="00000000" w:rsidR="00000000" w:rsidRPr="00000000">
        <w:rPr>
          <w:rtl w:val="0"/>
        </w:rPr>
        <w:t xml:space="preserve">Decision Owner: Derek / Domain owners</w:t>
      </w:r>
    </w:p>
    <w:p w:rsidR="00000000" w:rsidDel="00000000" w:rsidP="00000000" w:rsidRDefault="00000000" w:rsidRPr="00000000" w14:paraId="00000007">
      <w:pPr>
        <w:rPr/>
      </w:pPr>
      <w:r w:rsidDel="00000000" w:rsidR="00000000" w:rsidRPr="00000000">
        <w:rPr>
          <w:rtl w:val="0"/>
        </w:rPr>
        <w:t xml:space="preserve">Related Domains: Configuration, Operational Capability, Service, Brand</w:t>
      </w:r>
    </w:p>
    <w:p w:rsidR="00000000" w:rsidDel="00000000" w:rsidP="00000000" w:rsidRDefault="00000000" w:rsidRPr="00000000" w14:paraId="00000008">
      <w:pPr>
        <w:rPr/>
      </w:pPr>
      <w:r w:rsidDel="00000000" w:rsidR="00000000" w:rsidRPr="00000000">
        <w:rPr>
          <w:rtl w:val="0"/>
        </w:rPr>
        <w:t xml:space="preserve">Repository File: docs/business-decisions/cfg-001-configuration-ownership.md</w:t>
      </w:r>
    </w:p>
    <w:p w:rsidR="00000000" w:rsidDel="00000000" w:rsidP="00000000" w:rsidRDefault="00000000" w:rsidRPr="00000000" w14:paraId="00000009">
      <w:pPr>
        <w:rPr/>
      </w:pPr>
      <w:r w:rsidDel="00000000" w:rsidR="00000000" w:rsidRPr="00000000">
        <w:rPr>
          <w:rtl w:val="0"/>
        </w:rPr>
        <w:t xml:space="preserve">Schema Pack: Pack 2</w:t>
      </w:r>
    </w:p>
    <w:p w:rsidR="00000000" w:rsidDel="00000000" w:rsidP="00000000" w:rsidRDefault="00000000" w:rsidRPr="00000000" w14:paraId="0000000A">
      <w:pPr>
        <w:rPr/>
      </w:pPr>
      <w:r w:rsidDel="00000000" w:rsidR="00000000" w:rsidRPr="00000000">
        <w:rPr>
          <w:rtl w:val="0"/>
        </w:rPr>
        <w:t xml:space="preserve">Review Status: Approved for Export</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knbai2zbr6eu"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**Who owns configuration at organisation, client, brand, location, application and user scope, including override approval?**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“Ownership is fragmented and override authority remains open.” The question was recorded as a foundation decision with low repository confidence before approval.</w:t>
      </w:r>
    </w:p>
    <w:p w:rsidR="00000000" w:rsidDel="00000000" w:rsidP="00000000" w:rsidRDefault="00000000" w:rsidRPr="00000000" w14:paraId="00000010">
      <w:pPr>
        <w:pStyle w:val="Heading1"/>
        <w:rPr/>
      </w:pPr>
      <w:bookmarkStart w:colFirst="0" w:colLast="0" w:name="_4oq1p1evbj6p"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Configuration ownership is determined by business scope. The Platform Owner governs organisation-wide configuration and the configuration model itself. Client, Brand, Capability, Operational Location and Application owners govern configuration within their respective business areas. Site Managers may approve and manage configuration affecting their own Operational Location, while centrally operated functions such as CPU remain under their designated domain owner. Ownership may be delegated through FIKA OS role assignments without changing the canonical governance model.</w:t>
      </w:r>
    </w:p>
    <w:p w:rsidR="00000000" w:rsidDel="00000000" w:rsidP="00000000" w:rsidRDefault="00000000" w:rsidRPr="00000000" w14:paraId="00000013">
      <w:pPr>
        <w:pStyle w:val="Heading1"/>
        <w:rPr/>
      </w:pPr>
      <w:bookmarkStart w:colFirst="0" w:colLast="0" w:name="_utp1w1u3qy5o"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[docs/business-workshops/location-domain-workshop-v3.md](../business-workshops/location-domain-workshop-v3.md), specifically the section `Configuration Inheritance`.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Business ownership determines configuration meaning and scope; approval authority belongs to accountable organisational roles or functions under the FIKA OS Authority Model. Operational administration applies approved configuration without acquiring authority to redefine the business concept. Platform Governance assesses cohesion and downstream impact but does not define business authority.</w:t>
      </w:r>
    </w:p>
    <w:p w:rsidR="00000000" w:rsidDel="00000000" w:rsidP="00000000" w:rsidRDefault="00000000" w:rsidRPr="00000000" w14:paraId="00000019">
      <w:pPr>
        <w:pStyle w:val="Heading1"/>
        <w:rPr/>
      </w:pPr>
      <w:bookmarkStart w:colFirst="0" w:colLast="0" w:name="_xhsuo4jdd2o6" w:id="4"/>
      <w:bookmarkEnd w:id="4"/>
      <w:r w:rsidDel="00000000" w:rsidR="00000000" w:rsidRPr="00000000">
        <w:rPr>
          <w:rtl w:val="0"/>
        </w:rPr>
        <w:t xml:space="preserve">Positive consequences</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FIKA now has a stable, human-approved rule for this aspect of Configuration.</w:t>
      </w:r>
    </w:p>
    <w:p w:rsidR="00000000" w:rsidDel="00000000" w:rsidP="00000000" w:rsidRDefault="00000000" w:rsidRPr="00000000" w14:paraId="0000001B">
      <w:pPr>
        <w:numPr>
          <w:ilvl w:val="0"/>
          <w:numId w:val="7"/>
        </w:numPr>
        <w:ind w:left="720" w:hanging="360"/>
        <w:rPr>
          <w:u w:val="none"/>
        </w:rPr>
      </w:pPr>
      <w:r w:rsidDel="00000000" w:rsidR="00000000" w:rsidRPr="00000000">
        <w:rPr>
          <w:rtl w:val="0"/>
        </w:rPr>
        <w:t xml:space="preserve">It directly enabled [CAP-003](cap-003-capability-overrides.md), [CFG-002](cfg-002-configuration-inheritance.md), [CFG-003](cfg-003-configuration-variation-approval.md), [SVC-010](svc-010-service-commercial-ownership.md), [BRAND-001](brand-001-brand-overrides.md) to be decided on a stable basis.</w:t>
      </w:r>
    </w:p>
    <w:p w:rsidR="00000000" w:rsidDel="00000000" w:rsidP="00000000" w:rsidRDefault="00000000" w:rsidRPr="00000000" w14:paraId="0000001C">
      <w:pPr>
        <w:numPr>
          <w:ilvl w:val="0"/>
          <w:numId w:val="13"/>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Ownership, authority and technical administration are now explicitly separated and traceable.</w:t>
      </w:r>
    </w:p>
    <w:p w:rsidR="00000000" w:rsidDel="00000000" w:rsidP="00000000" w:rsidRDefault="00000000" w:rsidRPr="00000000" w14:paraId="0000001F">
      <w:pPr>
        <w:pStyle w:val="Heading1"/>
        <w:rPr/>
      </w:pPr>
      <w:bookmarkStart w:colFirst="0" w:colLast="0" w:name="_h1vcj91wytbo" w:id="5"/>
      <w:bookmarkEnd w:id="5"/>
      <w:r w:rsidDel="00000000" w:rsidR="00000000" w:rsidRPr="00000000">
        <w:rPr>
          <w:rtl w:val="0"/>
        </w:rPr>
        <w:t xml:space="preserve">Trade-offs</w:t>
      </w:r>
    </w:p>
    <w:p w:rsidR="00000000" w:rsidDel="00000000" w:rsidP="00000000" w:rsidRDefault="00000000" w:rsidRPr="00000000" w14:paraId="00000020">
      <w:pPr>
        <w:numPr>
          <w:ilvl w:val="0"/>
          <w:numId w:val="17"/>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t xml:space="preserve">Role-based approval, audit history and time limits add governance effort but prevent technical or temporary access from becoming permanent business authority.</w:t>
      </w:r>
    </w:p>
    <w:p w:rsidR="00000000" w:rsidDel="00000000" w:rsidP="00000000" w:rsidRDefault="00000000" w:rsidRPr="00000000" w14:paraId="00000024">
      <w:pPr>
        <w:pStyle w:val="Heading1"/>
        <w:rPr/>
      </w:pPr>
      <w:bookmarkStart w:colFirst="0" w:colLast="0" w:name="_6vywzubaok69" w:id="6"/>
      <w:bookmarkEnd w:id="6"/>
      <w:r w:rsidDel="00000000" w:rsidR="00000000" w:rsidRPr="00000000">
        <w:rPr>
          <w:rtl w:val="0"/>
        </w:rPr>
        <w:t xml:space="preserve">Implementation implications</w:t>
      </w:r>
    </w:p>
    <w:p w:rsidR="00000000" w:rsidDel="00000000" w:rsidP="00000000" w:rsidRDefault="00000000" w:rsidRPr="00000000" w14:paraId="00000025">
      <w:pPr>
        <w:rPr/>
      </w:pPr>
      <w:r w:rsidDel="00000000" w:rsidR="00000000" w:rsidRPr="00000000">
        <w:rPr>
          <w:rtl w:val="0"/>
        </w:rPr>
        <w:t xml:space="preserve">Configuration specifications must preserve the ownership, scope, inheritance, effective-date and approval rules established here without embedding provider or application assumptions.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Configuration specifications must distinguish business ownership, approval authority and technical administration. Any delegation must be temporary, have a mandatory end date, remain fully auditable and never transfer ownership. Platform Governance implements approved authority and assesses cross-domain, reporting and migration impact.</w:t>
      </w:r>
    </w:p>
    <w:p w:rsidR="00000000" w:rsidDel="00000000" w:rsidP="00000000" w:rsidRDefault="00000000" w:rsidRPr="00000000" w14:paraId="0000002A">
      <w:pPr>
        <w:pStyle w:val="Heading1"/>
        <w:rPr/>
      </w:pPr>
      <w:bookmarkStart w:colFirst="0" w:colLast="0" w:name="_2pbfl230nybp" w:id="7"/>
      <w:bookmarkEnd w:id="7"/>
      <w:r w:rsidDel="00000000" w:rsidR="00000000" w:rsidRPr="00000000">
        <w:rPr>
          <w:rtl w:val="0"/>
        </w:rPr>
        <w:t xml:space="preserve">Related decisions</w:t>
      </w:r>
    </w:p>
    <w:p w:rsidR="00000000" w:rsidDel="00000000" w:rsidP="00000000" w:rsidRDefault="00000000" w:rsidRPr="00000000" w14:paraId="0000002B">
      <w:pPr>
        <w:numPr>
          <w:ilvl w:val="0"/>
          <w:numId w:val="9"/>
        </w:numPr>
        <w:ind w:left="720" w:hanging="360"/>
        <w:rPr>
          <w:u w:val="none"/>
        </w:rPr>
      </w:pPr>
      <w:r w:rsidDel="00000000" w:rsidR="00000000" w:rsidRPr="00000000">
        <w:rPr>
          <w:rtl w:val="0"/>
        </w:rPr>
        <w:t xml:space="preserve">**Directly informs:** [CAP-003 — Capability Overrides](cap-003-capability-overrides.md)</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**Directly informs:** [CFG-002 — Configuration Inheritance](cfg-002-configuration-inheritance.md)</w:t>
      </w:r>
    </w:p>
    <w:p w:rsidR="00000000" w:rsidDel="00000000" w:rsidP="00000000" w:rsidRDefault="00000000" w:rsidRPr="00000000" w14:paraId="0000002D">
      <w:pPr>
        <w:numPr>
          <w:ilvl w:val="0"/>
          <w:numId w:val="12"/>
        </w:numPr>
        <w:ind w:left="720" w:hanging="360"/>
        <w:rPr>
          <w:u w:val="none"/>
        </w:rPr>
      </w:pPr>
      <w:r w:rsidDel="00000000" w:rsidR="00000000" w:rsidRPr="00000000">
        <w:rPr>
          <w:rtl w:val="0"/>
        </w:rPr>
        <w:t xml:space="preserve">**Directly informs:** [CFG-003 — Configuration Variation and Approval](cfg-003-configuration-variation-approval.md)</w:t>
      </w:r>
    </w:p>
    <w:p w:rsidR="00000000" w:rsidDel="00000000" w:rsidP="00000000" w:rsidRDefault="00000000" w:rsidRPr="00000000" w14:paraId="0000002E">
      <w:pPr>
        <w:numPr>
          <w:ilvl w:val="0"/>
          <w:numId w:val="16"/>
        </w:numPr>
        <w:ind w:left="720" w:hanging="360"/>
        <w:rPr>
          <w:u w:val="none"/>
        </w:rPr>
      </w:pPr>
      <w:r w:rsidDel="00000000" w:rsidR="00000000" w:rsidRPr="00000000">
        <w:rPr>
          <w:rtl w:val="0"/>
        </w:rPr>
        <w:t xml:space="preserve">**Directly informs:** [SVC-010 — Service Commercial Ownership](svc-010-service-commercial-ownership.md)</w:t>
      </w:r>
    </w:p>
    <w:p w:rsidR="00000000" w:rsidDel="00000000" w:rsidP="00000000" w:rsidRDefault="00000000" w:rsidRPr="00000000" w14:paraId="0000002F">
      <w:pPr>
        <w:numPr>
          <w:ilvl w:val="0"/>
          <w:numId w:val="11"/>
        </w:numPr>
        <w:ind w:left="720" w:hanging="360"/>
        <w:rPr>
          <w:u w:val="none"/>
        </w:rPr>
      </w:pPr>
      <w:r w:rsidDel="00000000" w:rsidR="00000000" w:rsidRPr="00000000">
        <w:rPr>
          <w:rtl w:val="0"/>
        </w:rPr>
        <w:t xml:space="preserve">**Directly informs:** [BRAND-001 — Brand and White-Labelling Overrides](brand-001-brand-overrides.md)</w:t>
      </w:r>
    </w:p>
    <w:p w:rsidR="00000000" w:rsidDel="00000000" w:rsidP="00000000" w:rsidRDefault="00000000" w:rsidRPr="00000000" w14:paraId="00000030">
      <w:pPr>
        <w:pStyle w:val="Heading1"/>
        <w:rPr/>
      </w:pPr>
      <w:bookmarkStart w:colFirst="0" w:colLast="0" w:name="_ymd8lxo4tg33" w:id="8"/>
      <w:bookmarkEnd w:id="8"/>
      <w:r w:rsidDel="00000000" w:rsidR="00000000" w:rsidRPr="00000000">
        <w:rPr>
          <w:rtl w:val="0"/>
        </w:rPr>
        <w:t xml:space="preserve">Evidence</w:t>
      </w:r>
    </w:p>
    <w:p w:rsidR="00000000" w:rsidDel="00000000" w:rsidP="00000000" w:rsidRDefault="00000000" w:rsidRPr="00000000" w14:paraId="00000031">
      <w:pPr>
        <w:numPr>
          <w:ilvl w:val="0"/>
          <w:numId w:val="10"/>
        </w:numPr>
        <w:ind w:left="720" w:hanging="360"/>
        <w:rPr>
          <w:u w:val="none"/>
        </w:rPr>
      </w:pPr>
      <w:r w:rsidDel="00000000" w:rsidR="00000000" w:rsidRPr="00000000">
        <w:rPr>
          <w:rtl w:val="0"/>
        </w:rPr>
        <w:t xml:space="preserve">[FIKA Business Knowledge Workbook](https://docs.google.com/spreadsheets/d/195jMni3vG5fX5hfAUFARc-vC2ifO8AI8r0r4xQUeoxk/edit) — **Canonical**; DEC-CFG-001, sourced from `Questions!3`.</w:t>
      </w:r>
    </w:p>
    <w:p w:rsidR="00000000" w:rsidDel="00000000" w:rsidP="00000000" w:rsidRDefault="00000000" w:rsidRPr="00000000" w14:paraId="00000032">
      <w:pPr>
        <w:numPr>
          <w:ilvl w:val="0"/>
          <w:numId w:val="15"/>
        </w:numPr>
        <w:ind w:left="720" w:hanging="360"/>
        <w:rPr>
          <w:u w:val="none"/>
        </w:rPr>
      </w:pPr>
      <w:r w:rsidDel="00000000" w:rsidR="00000000" w:rsidRPr="00000000">
        <w:rPr>
          <w:rtl w:val="0"/>
        </w:rPr>
        <w:t xml:space="preserve">[docs/business-workshops/location-domain-workshop-v3.md](../business-workshops/location-domain-workshop-v3.md) — **Historical**; `Configuration Inheritance`.</w:t>
      </w:r>
    </w:p>
    <w:p w:rsidR="00000000" w:rsidDel="00000000" w:rsidP="00000000" w:rsidRDefault="00000000" w:rsidRPr="00000000" w14:paraId="00000033">
      <w:pPr>
        <w:numPr>
          <w:ilvl w:val="0"/>
          <w:numId w:val="8"/>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34">
      <w:pPr>
        <w:numPr>
          <w:ilvl w:val="0"/>
          <w:numId w:val="8"/>
        </w:numPr>
        <w:ind w:left="720" w:hanging="360"/>
        <w:rPr>
          <w:u w:val="none"/>
        </w:rPr>
      </w:pPr>
      <w:r w:rsidDel="00000000" w:rsidR="00000000" w:rsidRPr="00000000">
        <w:rPr>
          <w:rtl w:val="0"/>
        </w:rPr>
        <w:t xml:space="preserve">[FIKA OS Authority Model](../fika-os-canon/04-authority-model.md) — **Canonical governance**; role-based authority, ownership, administration, delegation and platform-governance boundaries.</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36">
      <w:pPr>
        <w:pStyle w:val="Heading1"/>
        <w:rPr/>
      </w:pPr>
      <w:bookmarkStart w:colFirst="0" w:colLast="0" w:name="_xktr70ojnhg4" w:id="9"/>
      <w:bookmarkEnd w:id="9"/>
      <w:r w:rsidDel="00000000" w:rsidR="00000000" w:rsidRPr="00000000">
        <w:rPr>
          <w:rtl w:val="0"/>
        </w:rPr>
        <w:t xml:space="preserve">Supersedes / Superseded by</w:t>
      </w:r>
    </w:p>
    <w:p w:rsidR="00000000" w:rsidDel="00000000" w:rsidP="00000000" w:rsidRDefault="00000000" w:rsidRPr="00000000" w14:paraId="00000037">
      <w:pPr>
        <w:numPr>
          <w:ilvl w:val="0"/>
          <w:numId w:val="14"/>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38">
      <w:pPr>
        <w:numPr>
          <w:ilvl w:val="0"/>
          <w:numId w:val="18"/>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39">
      <w:pPr>
        <w:pStyle w:val="Heading1"/>
        <w:rPr/>
      </w:pPr>
      <w:bookmarkStart w:colFirst="0" w:colLast="0" w:name="_o918jeojq386" w:id="10"/>
      <w:bookmarkEnd w:id="10"/>
      <w:r w:rsidDel="00000000" w:rsidR="00000000" w:rsidRPr="00000000">
        <w:rPr>
          <w:rtl w:val="0"/>
        </w:rPr>
        <w:t xml:space="preserve">Future considerations</w:t>
      </w:r>
    </w:p>
    <w:p w:rsidR="00000000" w:rsidDel="00000000" w:rsidP="00000000" w:rsidRDefault="00000000" w:rsidRPr="00000000" w14:paraId="0000003A">
      <w:pPr>
        <w:rPr/>
      </w:pPr>
      <w:r w:rsidDel="00000000" w:rsidR="00000000" w:rsidRPr="00000000">
        <w:rPr>
          <w:rtl w:val="0"/>
        </w:rPr>
        <w:t xml:space="preserve">Future work must identify accountable organisational roles for each scope and the audit evidence for effective-dated changes without replacing the approved ownership model.</w:t>
      </w:r>
    </w:p>
    <w:p w:rsidR="00000000" w:rsidDel="00000000" w:rsidP="00000000" w:rsidRDefault="00000000" w:rsidRPr="00000000" w14:paraId="0000003B">
      <w:pPr>
        <w:pStyle w:val="Heading1"/>
        <w:rPr/>
      </w:pPr>
      <w:bookmarkStart w:colFirst="0" w:colLast="0" w:name="_qbeforhxf52i" w:id="11"/>
      <w:bookmarkEnd w:id="11"/>
      <w:r w:rsidDel="00000000" w:rsidR="00000000" w:rsidRPr="00000000">
        <w:rPr>
          <w:rtl w:val="0"/>
        </w:rPr>
        <w:t xml:space="preserve">Review Notes</w:t>
      </w:r>
    </w:p>
    <w:p w:rsidR="00000000" w:rsidDel="00000000" w:rsidP="00000000" w:rsidRDefault="00000000" w:rsidRPr="00000000" w14:paraId="0000003C">
      <w:pPr>
        <w:rPr/>
      </w:pPr>
      <w:r w:rsidDel="00000000" w:rsidR="00000000" w:rsidRPr="00000000">
        <w:rPr>
          <w:rtl w:val="0"/>
        </w:rPr>
        <w:t xml:space="preserve">Questions for Derek:</w:t>
      </w:r>
    </w:p>
    <w:p w:rsidR="00000000" w:rsidDel="00000000" w:rsidP="00000000" w:rsidRDefault="00000000" w:rsidRPr="00000000" w14:paraId="0000003D">
      <w:pPr>
        <w:rPr/>
      </w:pPr>
      <w:r w:rsidDel="00000000" w:rsidR="00000000" w:rsidRPr="00000000">
        <w:rPr>
          <w:rtl w:val="0"/>
        </w:rPr>
        <w:t xml:space="preserve">Business corrections required:</w:t>
      </w:r>
    </w:p>
    <w:p w:rsidR="00000000" w:rsidDel="00000000" w:rsidP="00000000" w:rsidRDefault="00000000" w:rsidRPr="00000000" w14:paraId="0000003E">
      <w:pPr>
        <w:rPr/>
      </w:pPr>
      <w:r w:rsidDel="00000000" w:rsidR="00000000" w:rsidRPr="00000000">
        <w:rPr>
          <w:rtl w:val="0"/>
        </w:rPr>
        <w:t xml:space="preserve">Reviewer comments: Review Doctrine v2 applied; Decision unchanged character-for-character.</w:t>
      </w:r>
    </w:p>
    <w:p w:rsidR="00000000" w:rsidDel="00000000" w:rsidP="00000000" w:rsidRDefault="00000000" w:rsidRPr="00000000" w14:paraId="0000003F">
      <w:pPr>
        <w:rPr/>
      </w:pPr>
      <w:r w:rsidDel="00000000" w:rsidR="00000000" w:rsidRPr="00000000">
        <w:rPr>
          <w:rtl w:val="0"/>
        </w:rPr>
        <w:t xml:space="preserve">Final approval: Approved for staged Markdown export only; repository write-back is not authorised.</w:t>
      </w:r>
    </w:p>
    <w:p w:rsidR="00000000" w:rsidDel="00000000" w:rsidP="00000000" w:rsidRDefault="00000000" w:rsidRPr="00000000" w14:paraId="00000040">
      <w:pPr>
        <w:rPr/>
      </w:pPr>
      <w:r w:rsidDel="00000000" w:rsidR="00000000" w:rsidRPr="00000000">
        <w:rPr>
          <w:rtl w:val="0"/>
        </w:rPr>
        <w:t xml:space="preserve">Approval date: 2026-07-14</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