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hrono-1-preregistration"/>
    <w:p>
      <w:pPr>
        <w:pStyle w:val="Heading1"/>
      </w:pPr>
      <w:r>
        <w:t xml:space="preserve">CHRONO-1 — Preregistration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t xml:space="preserve">CHRONO (temporal nonclassicality)</w:t>
      </w:r>
      <w:r>
        <w:t xml:space="preserve"> </w:t>
      </w:r>
      <w:r>
        <w:rPr>
          <w:bCs/>
          <w:b/>
        </w:rPr>
        <w:t xml:space="preserve">Experiment ID:</w:t>
      </w:r>
      <w:r>
        <w:t xml:space="preserve"> </w:t>
      </w:r>
      <w:r>
        <w:t xml:space="preserve">CHRONO-1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Remnant Fieldworks Inc. (Derek Adam Hone)</w:t>
      </w:r>
      <w:r>
        <w:t xml:space="preserve"> </w:t>
      </w:r>
      <w:r>
        <w:rPr>
          <w:bCs/>
          <w:b/>
        </w:rPr>
        <w:t xml:space="preserve">Status at lock:</w:t>
      </w:r>
      <w:r>
        <w:t xml:space="preserve"> </w:t>
      </w:r>
      <w:r>
        <w:t xml:space="preserve">design + harness complete, validated in simulation, hardware job pending</w:t>
      </w:r>
      <w:r>
        <w:t xml:space="preserve"> </w:t>
      </w:r>
      <w:r>
        <w:rPr>
          <w:bCs/>
          <w:b/>
        </w:rPr>
        <w:t xml:space="preserve">Governing framework:</w:t>
      </w:r>
      <w:r>
        <w:t xml:space="preserve"> </w:t>
      </w:r>
      <w:r>
        <w:t xml:space="preserve">RF Experiment–Pilot–IP Covenant (preregistration-first; honest outcomes; claims narrower than evidence; file-first / publish-after for new matter)</w:t>
      </w:r>
    </w:p>
    <w:p>
      <w:r>
        <w:pict>
          <v:rect style="width:0;height:1.5pt" o:hralign="center" o:hrstd="t" o:hr="t"/>
        </w:pict>
      </w:r>
    </w:p>
    <w:bookmarkStart w:id="20" w:name="one-sentence-statement"/>
    <w:p>
      <w:pPr>
        <w:pStyle w:val="Heading2"/>
      </w:pPr>
      <w:r>
        <w:t xml:space="preserve">1. One-sentence statement</w:t>
      </w:r>
    </w:p>
    <w:p>
      <w:pPr>
        <w:pStyle w:val="FirstParagraph"/>
      </w:pPr>
      <w:r>
        <w:t xml:space="preserve">We measure the three-time</w:t>
      </w:r>
      <w:r>
        <w:t xml:space="preserve"> </w:t>
      </w:r>
      <w:r>
        <w:rPr>
          <w:bCs/>
          <w:b/>
        </w:rPr>
        <w:t xml:space="preserve">Leggett–Garg inequality</w:t>
      </w:r>
      <w:r>
        <w:t xml:space="preserve"> </w:t>
      </w:r>
      <w:r>
        <w:t xml:space="preserve">(temporal Bell-type inequality) on a single superconducting qubit and</w:t>
      </w:r>
      <w:r>
        <w:t xml:space="preserve"> </w:t>
      </w:r>
      <w:r>
        <w:rPr>
          <w:bCs/>
          <w:b/>
        </w:rPr>
        <w:t xml:space="preserve">cryptographically bind the measured K3 statistic into an authorization ProofRecord</w:t>
      </w:r>
      <w:r>
        <w:t xml:space="preserve"> </w:t>
      </w:r>
      <w:r>
        <w:t xml:space="preserve">as a</w:t>
      </w:r>
      <w:r>
        <w:t xml:space="preserve"> </w:t>
      </w:r>
      <w:r>
        <w:rPr>
          <w:iCs/>
          <w:i/>
        </w:rPr>
        <w:t xml:space="preserve">temporal</w:t>
      </w:r>
      <w:r>
        <w:t xml:space="preserve"> </w:t>
      </w:r>
      <w:r>
        <w:t xml:space="preserve">nonclassicality witness — a certificate that the authorized value had</w:t>
      </w:r>
      <w:r>
        <w:t xml:space="preserve"> </w:t>
      </w:r>
      <w:r>
        <w:rPr>
          <w:bCs/>
          <w:b/>
        </w:rPr>
        <w:t xml:space="preserve">no definite pre-measurement (pre-execution) history</w:t>
      </w:r>
      <w:r>
        <w:t xml:space="preserve"> </w:t>
      </w:r>
      <w:r>
        <w:t xml:space="preserve">under the stated assumption.</w:t>
      </w:r>
    </w:p>
    <w:bookmarkEnd w:id="20"/>
    <w:bookmarkStart w:id="21" w:name="X679434d6ab82edff87984f3d404da9bdd821d9b"/>
    <w:p>
      <w:pPr>
        <w:pStyle w:val="Heading2"/>
      </w:pPr>
      <w:r>
        <w:t xml:space="preserve">2. Why this is new (distinct from all prior RF series)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48"/>
        <w:gridCol w:w="3201"/>
        <w:gridCol w:w="33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Phenomenon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witnessed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</w:t>
            </w:r>
            <w:r>
              <w:t xml:space="preserve"> </w:t>
            </w:r>
            <w:r>
              <w:rPr>
                <w:bCs/>
                <w:b/>
              </w:rPr>
              <w:t xml:space="preserve">boundary</w:t>
            </w:r>
            <w:r>
              <w:t xml:space="preserve"> </w:t>
            </w:r>
            <w:r>
              <w:t xml:space="preserve">(context replay)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exact-match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of a superposition-sourced nonce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assumed</w:t>
            </w:r>
            <w:r>
              <w:t xml:space="preserve"> </w:t>
            </w:r>
            <w:r>
              <w:t xml:space="preserve">unpredictability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BELLWETHER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spatial</w:t>
            </w:r>
            <w:r>
              <w:t xml:space="preserve"> </w:t>
            </w:r>
            <w:r>
              <w:t xml:space="preserve">nonclassicality (CHSH Bell, S&gt;2)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Bell violation bound into nonce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CHRONO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temporal</w:t>
            </w:r>
            <w:r>
              <w:t xml:space="preserve"> </w:t>
            </w:r>
            <w:r>
              <w:t xml:space="preserve">nonclassicality (Leggett–Garg K3&gt;1)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time-ordered</w:t>
            </w:r>
            <w:r>
              <w:t xml:space="preserve"> </w:t>
            </w:r>
            <w:r>
              <w:t xml:space="preserve">nonclassicality bound into nonce</w:t>
            </w:r>
          </w:p>
        </w:tc>
      </w:tr>
    </w:tbl>
    <w:p>
      <w:pPr>
        <w:pStyle w:val="BodyText"/>
      </w:pPr>
      <w:r>
        <w:t xml:space="preserve">No prior work (RF or, to our knowledge, anyone) binds a</w:t>
      </w:r>
      <w:r>
        <w:t xml:space="preserve"> </w:t>
      </w:r>
      <w:r>
        <w:rPr>
          <w:bCs/>
          <w:b/>
        </w:rPr>
        <w:t xml:space="preserve">Leggett–Garg temporal-correlation witness</w:t>
      </w:r>
      <w:r>
        <w:t xml:space="preserve"> </w:t>
      </w:r>
      <w:r>
        <w:t xml:space="preserve">into an authorization/ProofRecord construction. BELLWETHER witnessed nonclassicality</w:t>
      </w:r>
      <w:r>
        <w:t xml:space="preserve"> </w:t>
      </w:r>
      <w:r>
        <w:rPr>
          <w:iCs/>
          <w:i/>
        </w:rPr>
        <w:t xml:space="preserve">across space</w:t>
      </w:r>
      <w:r>
        <w:t xml:space="preserve">; CHRONO witnesses it</w:t>
      </w:r>
      <w:r>
        <w:t xml:space="preserve"> </w:t>
      </w:r>
      <w:r>
        <w:rPr>
          <w:iCs/>
          <w:i/>
        </w:rPr>
        <w:t xml:space="preserve">across time</w:t>
      </w:r>
      <w:r>
        <w:t xml:space="preserve"> </w:t>
      </w:r>
      <w:r>
        <w:t xml:space="preserve">— the physical statement most directly aligned with RF doctrine:</w:t>
      </w:r>
      <w:r>
        <w:t xml:space="preserve"> </w:t>
      </w:r>
      <w:r>
        <w:rPr>
          <w:bCs/>
          <w:b/>
        </w:rPr>
        <w:t xml:space="preserve">Verification Before Execution</w:t>
      </w:r>
      <w:r>
        <w:t xml:space="preserve"> </w:t>
      </w:r>
      <w:r>
        <w:t xml:space="preserve">(the value did not exist definitely before it was verified).</w:t>
      </w:r>
    </w:p>
    <w:bookmarkEnd w:id="21"/>
    <w:bookmarkStart w:id="22" w:name="physics-and-design"/>
    <w:p>
      <w:pPr>
        <w:pStyle w:val="Heading2"/>
      </w:pPr>
      <w:r>
        <w:t xml:space="preserve">3. Physics and design</w:t>
      </w:r>
    </w:p>
    <w:p>
      <w:pPr>
        <w:pStyle w:val="FirstParagraph"/>
      </w:pPr>
      <w:r>
        <w:t xml:space="preserve">Single qubit, dichotomic observable</w:t>
      </w:r>
      <w:r>
        <w:t xml:space="preserve"> </w:t>
      </w:r>
      <w:r>
        <w:rPr>
          <w:bCs/>
          <w:b/>
        </w:rPr>
        <w:t xml:space="preserve">Q = Z</w:t>
      </w:r>
      <w:r>
        <w:t xml:space="preserve"> </w:t>
      </w:r>
      <w:r>
        <w:t xml:space="preserve">(outcome +1 for |0⟩, −1 for |1⟩). Between measurement times the qubit precesses under</w:t>
      </w:r>
      <w:r>
        <w:t xml:space="preserve"> </w:t>
      </w:r>
      <w:r>
        <w:rPr>
          <w:bCs/>
          <w:b/>
        </w:rPr>
        <w:t xml:space="preserve">R_y(θ)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θ = π/3 (60°)</w:t>
      </w:r>
      <w:r>
        <w:t xml:space="preserve">.</w:t>
      </w:r>
    </w:p>
    <w:p>
      <w:pPr>
        <w:pStyle w:val="BodyText"/>
      </w:pPr>
      <w:r>
        <w:t xml:space="preserve">Three two-time correlators, each measured in a</w:t>
      </w:r>
      <w:r>
        <w:t xml:space="preserve"> </w:t>
      </w:r>
      <w:r>
        <w:rPr>
          <w:bCs/>
          <w:b/>
        </w:rPr>
        <w:t xml:space="preserve">separate circuit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mid-circuit measurement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C12 : measure(t1) -&gt; R_y(θ) -&gt; measure(t2)</w:t>
      </w:r>
      <w:r>
        <w:br/>
      </w:r>
      <w:r>
        <w:rPr>
          <w:rStyle w:val="VerbatimChar"/>
        </w:rPr>
        <w:t xml:space="preserve">C23 : R_y(θ) -&gt; measure(t2) -&gt; R_y(θ) -&gt; measure(t3)</w:t>
      </w:r>
      <w:r>
        <w:br/>
      </w:r>
      <w:r>
        <w:rPr>
          <w:rStyle w:val="VerbatimChar"/>
        </w:rPr>
        <w:t xml:space="preserve">C13 : measure(t1) -&gt; R_y(2θ) -&gt; measure(t3)</w:t>
      </w:r>
    </w:p>
    <w:p>
      <w:pPr>
        <w:pStyle w:val="FirstParagraph"/>
      </w:pPr>
      <w:r>
        <w:t xml:space="preserve">Each circuit writes two bits into one 2-bit classical register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</w:t>
      </w:r>
      <w:r>
        <w:rPr>
          <w:rStyle w:val="VerbatimChar"/>
        </w:rPr>
        <w:t xml:space="preserve">c[0]</w:t>
      </w:r>
      <w:r>
        <w:t xml:space="preserve"> </w:t>
      </w:r>
      <w:r>
        <w:t xml:space="preserve">= earlier,</w:t>
      </w:r>
      <w:r>
        <w:t xml:space="preserve"> </w:t>
      </w:r>
      <w:r>
        <w:rPr>
          <w:rStyle w:val="VerbatimChar"/>
        </w:rPr>
        <w:t xml:space="preserve">c[1]</w:t>
      </w:r>
      <w:r>
        <w:t xml:space="preserve"> </w:t>
      </w:r>
      <w:r>
        <w:t xml:space="preserve">= later). Correlator = shot-average of the product of the two signed outcomes.</w:t>
      </w:r>
    </w:p>
    <w:p>
      <w:pPr>
        <w:pStyle w:val="BodyText"/>
      </w:pPr>
      <w:r>
        <w:rPr>
          <w:bCs/>
          <w:b/>
        </w:rPr>
        <w:t xml:space="preserve">Leggett–Garg K3:</w:t>
      </w:r>
      <w:r>
        <w:t xml:space="preserve"> </w:t>
      </w:r>
      <w:r>
        <w:rPr>
          <w:rStyle w:val="VerbatimChar"/>
        </w:rPr>
        <w:t xml:space="preserve">K3 = C12 + C23 − C13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Macrorealist bound (H1):</w:t>
      </w:r>
      <w:r>
        <w:t xml:space="preserve"> </w:t>
      </w:r>
      <w:r>
        <w:rPr>
          <w:rStyle w:val="VerbatimChar"/>
        </w:rPr>
        <w:t xml:space="preserve">K3 ≤ 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Quantum (Lüders) bound:</w:t>
      </w:r>
      <w:r>
        <w:t xml:space="preserve"> </w:t>
      </w:r>
      <w:r>
        <w:rPr>
          <w:rStyle w:val="VerbatimChar"/>
        </w:rPr>
        <w:t xml:space="preserve">K3 = 1.5</w:t>
      </w:r>
      <w:r>
        <w:t xml:space="preserve"> </w:t>
      </w:r>
      <w:r>
        <w:t xml:space="preserve">(maximal at θ = π/3)</w:t>
      </w:r>
    </w:p>
    <w:p>
      <w:pPr>
        <w:numPr>
          <w:ilvl w:val="0"/>
          <w:numId w:val="1001"/>
        </w:numPr>
        <w:pStyle w:val="Compact"/>
      </w:pPr>
      <w:r>
        <w:t xml:space="preserve">Ideal predictions:</w:t>
      </w:r>
      <w:r>
        <w:t xml:space="preserve"> </w:t>
      </w:r>
      <w:r>
        <w:rPr>
          <w:rStyle w:val="VerbatimChar"/>
        </w:rPr>
        <w:t xml:space="preserve">C12 = C23 = cos60° = +0.5</w:t>
      </w:r>
      <w:r>
        <w:t xml:space="preserve">,</w:t>
      </w:r>
      <w:r>
        <w:t xml:space="preserve"> </w:t>
      </w:r>
      <w:r>
        <w:rPr>
          <w:rStyle w:val="VerbatimChar"/>
        </w:rPr>
        <w:t xml:space="preserve">C13 = cos120° = −0.5</w:t>
      </w:r>
      <w:r>
        <w:t xml:space="preserve">, so</w:t>
      </w:r>
      <w:r>
        <w:t xml:space="preserve"> </w:t>
      </w:r>
      <w:r>
        <w:rPr>
          <w:rStyle w:val="VerbatimChar"/>
        </w:rPr>
        <w:t xml:space="preserve">K3 = 1.5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Simulation validation (pre-lock, noiseless AerSimulator, 200k shots/correlator):</w:t>
      </w:r>
      <w:r>
        <w:t xml:space="preserve"> </w:t>
      </w:r>
      <w:r>
        <w:rPr>
          <w:rStyle w:val="VerbatimChar"/>
        </w:rPr>
        <w:t xml:space="preserve">C12 = 0.502, C23 = 0.503, C13 = −0.504, K3 = 1.508</w:t>
      </w:r>
      <w:r>
        <w:t xml:space="preserve"> </w:t>
      </w:r>
      <w:r>
        <w:t xml:space="preserve">— consistent with the ideal 1.5; macrorealist bound violated at ~152σ. The counts-extraction path is confirmed identical to the hardware path.</w:t>
      </w:r>
    </w:p>
    <w:bookmarkEnd w:id="22"/>
    <w:bookmarkStart w:id="23" w:name="execution-plan"/>
    <w:p>
      <w:pPr>
        <w:pStyle w:val="Heading2"/>
      </w:pPr>
      <w:r>
        <w:t xml:space="preserve">4. Execution plan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IBM open-plan hardware (prefer</w:t>
      </w:r>
      <w:r>
        <w:t xml:space="preserve"> </w:t>
      </w:r>
      <w:r>
        <w:rPr>
          <w:rStyle w:val="VerbatimChar"/>
        </w:rPr>
        <w:t xml:space="preserve">ibm_fez</w:t>
      </w:r>
      <w:r>
        <w:t xml:space="preserve">, else min pending-jobs).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Shots:</w:t>
      </w:r>
      <w:r>
        <w:t xml:space="preserve"> </w:t>
      </w:r>
      <w:r>
        <w:t xml:space="preserve">2000 per correlator × 3 =</w:t>
      </w:r>
      <w:r>
        <w:t xml:space="preserve"> </w:t>
      </w:r>
      <w:r>
        <w:rPr>
          <w:bCs/>
          <w:b/>
        </w:rPr>
        <w:t xml:space="preserve">6000 shots total</w:t>
      </w:r>
      <w:r>
        <w:t xml:space="preserve"> </w:t>
      </w:r>
      <w:r>
        <w:t xml:space="preserve">(~a few seconds of QPU time; sized to the remaining open-plan budget).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Mode:</w:t>
      </w:r>
      <w:r>
        <w:t xml:space="preserve"> </w:t>
      </w:r>
      <w:r>
        <w:t xml:space="preserve">Batch (open plan forbids Session).</w:t>
      </w:r>
      <w:r>
        <w:t xml:space="preserve"> </w:t>
      </w:r>
      <w:r>
        <w:rPr>
          <w:bCs/>
          <w:b/>
        </w:rPr>
        <w:t xml:space="preserve">Channel:</w:t>
      </w:r>
      <w:r>
        <w:t xml:space="preserve"> </w:t>
      </w:r>
      <w:r>
        <w:rPr>
          <w:rStyle w:val="VerbatimChar"/>
        </w:rPr>
        <w:t xml:space="preserve">ibm_quantum_platform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Circuits transpiled</w:t>
      </w:r>
      <w:r>
        <w:t xml:space="preserve"> </w:t>
      </w:r>
      <w:r>
        <w:t xml:space="preserve">to backend ISA (optimization_level=1) before submission.</w:t>
      </w:r>
    </w:p>
    <w:bookmarkEnd w:id="23"/>
    <w:bookmarkStart w:id="24" w:name="X6e94445655c7e20772785473e8a7b3988d23936"/>
    <w:p>
      <w:pPr>
        <w:pStyle w:val="Heading2"/>
      </w:pPr>
      <w:r>
        <w:t xml:space="preserve">5. Outcome criteria (fixed in advance — honest, symmetric)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VIOLATION (temporal nonclassicality, under assumptions)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K3 &gt; 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K3 − 1 &gt; 3σ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INCONCLUSIVE / 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K3 &gt; 1</w:t>
            </w:r>
            <w:r>
              <w:t xml:space="preserve"> </w:t>
            </w:r>
            <w:r>
              <w:t xml:space="preserve">but not 3σ-significant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VIOLATION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K3 ≤ 1</w:t>
            </w:r>
          </w:p>
        </w:tc>
      </w:tr>
    </w:tbl>
    <w:p>
      <w:pPr>
        <w:pStyle w:val="BodyText"/>
      </w:pPr>
      <w:r>
        <w:t xml:space="preserve">The measured hardware K3 will be reported</w:t>
      </w:r>
      <w:r>
        <w:t xml:space="preserve"> </w:t>
      </w:r>
      <w:r>
        <w:rPr>
          <w:bCs/>
          <w:b/>
        </w:rPr>
        <w:t xml:space="preserve">exactly as observed</w:t>
      </w:r>
      <w:r>
        <w:t xml:space="preserve">, whichever bin it lands in. No re-runs to chase a preferred number.</w:t>
      </w:r>
    </w:p>
    <w:bookmarkEnd w:id="24"/>
    <w:bookmarkStart w:id="26" w:name="X6b2c841acd478babdad8018973c060f31a3baa7"/>
    <w:p>
      <w:pPr>
        <w:pStyle w:val="Heading2"/>
      </w:pPr>
      <w:r>
        <w:t xml:space="preserve">6. Honesty boundary (non-negotiable — carried into every artifact)</w:t>
      </w:r>
    </w:p>
    <w:p>
      <w:pPr>
        <w:numPr>
          <w:ilvl w:val="0"/>
          <w:numId w:val="1003"/>
        </w:numPr>
        <w:pStyle w:val="Compact"/>
      </w:pPr>
      <w:r>
        <w:t xml:space="preserve">The Leggett–Garg inequality assumes</w:t>
      </w:r>
      <w:r>
        <w:t xml:space="preserve"> </w:t>
      </w:r>
      <w:r>
        <w:rPr>
          <w:bCs/>
          <w:b/>
        </w:rPr>
        <w:t xml:space="preserve">non-invasive measurability (NIM)</w:t>
      </w:r>
      <w:r>
        <w:t xml:space="preserve">: that a macrorealist system can be read without disturbance. A projective qubit measurement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invasive, so a determined macrorealist can attribute any</w:t>
      </w:r>
      <w:r>
        <w:t xml:space="preserve"> </w:t>
      </w:r>
      <w:r>
        <w:rPr>
          <w:rStyle w:val="VerbatimChar"/>
        </w:rPr>
        <w:t xml:space="preserve">K3 &gt; 1</w:t>
      </w:r>
      <w:r>
        <w:t xml:space="preserve"> </w:t>
      </w:r>
      <w:r>
        <w:t xml:space="preserve">to measurement disturbance —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clumsiness loophole.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This is therefore a</w:t>
      </w:r>
      <w:r>
        <w:t xml:space="preserve"> </w:t>
      </w:r>
      <w:r>
        <w:rPr>
          <w:bCs/>
          <w:b/>
        </w:rPr>
        <w:t xml:space="preserve">Leggett–Garg violation UNDER STATED ASSUMPTIONS</w:t>
      </w:r>
      <w:r>
        <w:t xml:space="preserve">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loophole-free refutation of macrorealism, 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device-independent certified randomness.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Single system</w:t>
      </w:r>
      <w:r>
        <w:t xml:space="preserve">, single device: no device-independence is claimed.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Only defensible claim: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observed temporal correlations violating the macrorealist bound K3 ≤ 1 on hardware, under the non-invasive-measurability assumption, cryptographically bound into the authorization record.</w:t>
      </w:r>
      <w:r>
        <w:rPr>
          <w:iCs/>
          <w:i/>
        </w:rPr>
        <w:t xml:space="preserve">”</w:t>
      </w:r>
    </w:p>
    <w:bookmarkStart w:id="25" w:name="a.-disclosed-pre-execution-harness-facts"/>
    <w:p>
      <w:pPr>
        <w:pStyle w:val="Heading3"/>
      </w:pPr>
      <w:r>
        <w:t xml:space="preserve">6a. Disclosed pre-execution harness facts</w:t>
      </w:r>
    </w:p>
    <w:p>
      <w:pPr>
        <w:numPr>
          <w:ilvl w:val="0"/>
          <w:numId w:val="1004"/>
        </w:numPr>
        <w:pStyle w:val="Compact"/>
      </w:pPr>
      <w:r>
        <w:t xml:space="preserve">Local simulator (</w:t>
      </w:r>
      <w:r>
        <w:rPr>
          <w:rStyle w:val="VerbatimChar"/>
        </w:rPr>
        <w:t xml:space="preserve">StatevectorSampler</w:t>
      </w:r>
      <w:r>
        <w:t xml:space="preserve">) cannot execute mid-circuit measurements; validation used</w:t>
      </w:r>
      <w:r>
        <w:t xml:space="preserve"> </w:t>
      </w:r>
      <w:r>
        <w:rPr>
          <w:rStyle w:val="VerbatimChar"/>
        </w:rPr>
        <w:t xml:space="preserve">AerSimulator</w:t>
      </w:r>
      <w:r>
        <w:t xml:space="preserve">. The</w:t>
      </w:r>
      <w:r>
        <w:t xml:space="preserve"> </w:t>
      </w:r>
      <w:r>
        <w:rPr>
          <w:bCs/>
          <w:b/>
        </w:rPr>
        <w:t xml:space="preserve">hardware</w:t>
      </w:r>
      <w:r>
        <w:t xml:space="preserve"> </w:t>
      </w:r>
      <w:r>
        <w:t xml:space="preserve">path (SamplerV2, Batch) executes mid-circuit measurement natively. This does not alter any circuit or claim.</w:t>
      </w:r>
    </w:p>
    <w:p>
      <w:pPr>
        <w:numPr>
          <w:ilvl w:val="0"/>
          <w:numId w:val="1004"/>
        </w:numPr>
        <w:pStyle w:val="Compact"/>
      </w:pPr>
      <w:r>
        <w:t xml:space="preserve">Secrets key renamed</w:t>
      </w:r>
      <w:r>
        <w:t xml:space="preserve"> </w:t>
      </w:r>
      <w:r>
        <w:rPr>
          <w:rStyle w:val="VerbatimChar"/>
        </w:rPr>
        <w:t xml:space="preserve">witness1_ibmq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ibm quantum</w:t>
      </w:r>
      <w:r>
        <w:t xml:space="preserve">; the token loader tries both (FIX-3). No physics impact.</w:t>
      </w:r>
    </w:p>
    <w:bookmarkEnd w:id="25"/>
    <w:bookmarkEnd w:id="26"/>
    <w:bookmarkStart w:id="27" w:name="X03e81fbf8b7d96889dac6a2ff9ffcd8375b9396"/>
    <w:p>
      <w:pPr>
        <w:pStyle w:val="Heading2"/>
      </w:pPr>
      <w:r>
        <w:t xml:space="preserve">7. ProofRecord construction (</w:t>
      </w:r>
      <w:r>
        <w:rPr>
          <w:rStyle w:val="VerbatimChar"/>
        </w:rPr>
        <w:t xml:space="preserve">chrono-proofrecord-1.0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raw_counts_hash  = H( canonical(counts_by_correlator) )</w:t>
      </w:r>
      <w:r>
        <w:br/>
      </w:r>
      <w:r>
        <w:rPr>
          <w:rStyle w:val="VerbatimChar"/>
        </w:rPr>
        <w:t xml:space="preserve">calibration_hash = H( canonical(calibration_snapshot) )</w:t>
      </w:r>
      <w:r>
        <w:br/>
      </w:r>
      <w:r>
        <w:rPr>
          <w:rStyle w:val="VerbatimChar"/>
        </w:rPr>
        <w:t xml:space="preserve">witness_hash     = H( canonical(temporal_witness) )     # contains K3, correlators, bounds</w:t>
      </w:r>
      <w:r>
        <w:br/>
      </w:r>
      <w:r>
        <w:rPr>
          <w:rStyle w:val="VerbatimChar"/>
        </w:rPr>
        <w:t xml:space="preserve">chrono_nonce     = H( lp(raw_counts_hash) || lp(job_id) || lp(calibration_hash) || lp(witness_hash) )</w:t>
      </w:r>
      <w:r>
        <w:br/>
      </w:r>
      <w:r>
        <w:rPr>
          <w:rStyle w:val="VerbatimChar"/>
        </w:rPr>
        <w:t xml:space="preserve">record_hash      = H( canonical(all fields except record_hash) )</w:t>
      </w:r>
    </w:p>
    <w:p>
      <w:pPr>
        <w:pStyle w:val="FirstParagraph"/>
      </w:pPr>
      <w:r>
        <w:t xml:space="preserve">Tampering with the measured statistic breaks</w:t>
      </w:r>
      <w:r>
        <w:t xml:space="preserve"> </w:t>
      </w:r>
      <w:r>
        <w:rPr>
          <w:rStyle w:val="VerbatimChar"/>
        </w:rPr>
        <w:t xml:space="preserve">chrono_nonce</w:t>
      </w:r>
      <w:r>
        <w:t xml:space="preserve">; any covered-field edit breaks</w:t>
      </w:r>
      <w:r>
        <w:t xml:space="preserve"> </w:t>
      </w:r>
      <w:r>
        <w:rPr>
          <w:rStyle w:val="VerbatimChar"/>
        </w:rPr>
        <w:t xml:space="preserve">record_hash</w:t>
      </w:r>
      <w:r>
        <w:t xml:space="preserve">. Verified by 9/9 pre-lock mock tests (tamper-evidence over both counts and witness) and by the independent</w:t>
      </w:r>
      <w:r>
        <w:t xml:space="preserve"> </w:t>
      </w:r>
      <w:r>
        <w:rPr>
          <w:rStyle w:val="VerbatimChar"/>
        </w:rPr>
        <w:t xml:space="preserve">verify.py</w:t>
      </w:r>
      <w:r>
        <w:t xml:space="preserve">.</w:t>
      </w:r>
    </w:p>
    <w:bookmarkEnd w:id="27"/>
    <w:bookmarkStart w:id="28" w:name="commercial-purpose-covenant-requirement"/>
    <w:p>
      <w:pPr>
        <w:pStyle w:val="Heading2"/>
      </w:pPr>
      <w:r>
        <w:t xml:space="preserve">8. Commercial purpose (Covenant requirement)</w:t>
      </w:r>
    </w:p>
    <w:p>
      <w:pPr>
        <w:pStyle w:val="FirstParagraph"/>
      </w:pPr>
      <w:r>
        <w:t xml:space="preserve">CHRONO extends the ExecutionProof patent family with a</w:t>
      </w:r>
      <w:r>
        <w:t xml:space="preserve"> </w:t>
      </w:r>
      <w:r>
        <w:rPr>
          <w:bCs/>
          <w:b/>
        </w:rPr>
        <w:t xml:space="preserve">temporal</w:t>
      </w:r>
      <w:r>
        <w:t xml:space="preserve"> </w:t>
      </w:r>
      <w:r>
        <w:t xml:space="preserve">entropy/authorization primitive: a ProofRecord whose seed is certified to have possessed no definite value prior to its verification event. Candidate RF-100 use:</w:t>
      </w:r>
      <w:r>
        <w:t xml:space="preserve"> </w:t>
      </w:r>
      <w:r>
        <w:rPr>
          <w:bCs/>
          <w:b/>
        </w:rPr>
        <w:t xml:space="preserve">anti-replay / freshness certificates in time-ordered authorization</w:t>
      </w:r>
      <w:r>
        <w:t xml:space="preserve"> </w:t>
      </w:r>
      <w:r>
        <w:t xml:space="preserve">(a token that provably could not have been precomputed). Publication is gated pending the file-first IP determination (§9).</w:t>
      </w:r>
    </w:p>
    <w:bookmarkEnd w:id="28"/>
    <w:bookmarkStart w:id="29" w:name="ip-gate"/>
    <w:p>
      <w:pPr>
        <w:pStyle w:val="Heading2"/>
      </w:pPr>
      <w:r>
        <w:t xml:space="preserve">9. IP gate</w:t>
      </w:r>
    </w:p>
    <w:p>
      <w:pPr>
        <w:pStyle w:val="FirstParagraph"/>
      </w:pPr>
      <w:r>
        <w:t xml:space="preserve">CHRONO-1 is</w:t>
      </w:r>
      <w:r>
        <w:t xml:space="preserve"> </w:t>
      </w:r>
      <w:r>
        <w:rPr>
          <w:bCs/>
          <w:b/>
        </w:rPr>
        <w:t xml:space="preserve">almost certainly new patentable matter</w:t>
      </w:r>
      <w:r>
        <w:t xml:space="preserve">. Per the Covenant it is held</w:t>
      </w:r>
      <w:r>
        <w:t xml:space="preserve"> </w:t>
      </w:r>
      <w:r>
        <w:rPr>
          <w:bCs/>
          <w:b/>
        </w:rPr>
        <w:t xml:space="preserve">local-only</w:t>
      </w:r>
      <w:r>
        <w:t xml:space="preserve"> </w:t>
      </w:r>
      <w:r>
        <w:t xml:space="preserve">(no GitHub / Zenodo / LinkedIn / RF-100 disclosure) until Derek makes the</w:t>
      </w:r>
      <w:r>
        <w:t xml:space="preserve"> </w:t>
      </w:r>
      <w:r>
        <w:rPr>
          <w:bCs/>
          <w:b/>
        </w:rPr>
        <w:t xml:space="preserve">file-first</w:t>
      </w:r>
      <w:r>
        <w:t xml:space="preserve"> </w:t>
      </w:r>
      <w:r>
        <w:t xml:space="preserve">determination. Execution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disclosure; running the job and fetching results is permitted.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To God be the glory. Proof Before Power. Verification Before Execution.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2026-07-18T09:37:45Z</dcterms:created>
  <dcterms:modified xsi:type="dcterms:W3CDTF">2026-07-18T09:37:45Z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