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hrono-1-execution-report"/>
    <w:p>
      <w:pPr>
        <w:pStyle w:val="Heading1"/>
      </w:pPr>
      <w:r>
        <w:t xml:space="preserve">CHRONO-1 — Execution Report</w:t>
      </w:r>
    </w:p>
    <w:p>
      <w:pPr>
        <w:pStyle w:val="FirstParagraph"/>
      </w:pPr>
      <w:r>
        <w:rPr>
          <w:bCs/>
          <w:b/>
        </w:rPr>
        <w:t xml:space="preserve">Series:</w:t>
      </w:r>
      <w:r>
        <w:t xml:space="preserve"> </w:t>
      </w:r>
      <w:r>
        <w:t xml:space="preserve">CHRONO (temporal nonclassicality witness)</w:t>
      </w:r>
      <w:r>
        <w:br/>
      </w:r>
      <w:r>
        <w:rPr>
          <w:bCs/>
          <w:b/>
        </w:rPr>
        <w:t xml:space="preserve">Experiment ID:</w:t>
      </w:r>
      <w:r>
        <w:t xml:space="preserve"> </w:t>
      </w:r>
      <w:r>
        <w:t xml:space="preserve">CHRONO-1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Remnant Fieldworks Inc. (Derek Adam Hone)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Hardware execution COMPLETE — all verdicts PASS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CHRONO-1 measured the three-time</w:t>
      </w:r>
      <w:r>
        <w:t xml:space="preserve"> </w:t>
      </w:r>
      <w:r>
        <w:rPr>
          <w:bCs/>
          <w:b/>
        </w:rPr>
        <w:t xml:space="preserve">Leggett–Garg inequality (K3)</w:t>
      </w:r>
      <w:r>
        <w:t xml:space="preserve"> </w:t>
      </w:r>
      <w:r>
        <w:t xml:space="preserve">on a single superconducting qubit and</w:t>
      </w:r>
      <w:r>
        <w:t xml:space="preserve"> </w:t>
      </w:r>
      <w:r>
        <w:rPr>
          <w:bCs/>
          <w:b/>
        </w:rPr>
        <w:t xml:space="preserve">cryptographically bound the measured K3 statistic into an authorization ProofRecord</w:t>
      </w:r>
      <w:r>
        <w:t xml:space="preserve"> </w:t>
      </w:r>
      <w:r>
        <w:t xml:space="preserve">as a</w:t>
      </w:r>
      <w:r>
        <w:t xml:space="preserve"> </w:t>
      </w:r>
      <w:r>
        <w:rPr>
          <w:iCs/>
          <w:i/>
        </w:rPr>
        <w:t xml:space="preserve">temporal</w:t>
      </w:r>
      <w:r>
        <w:t xml:space="preserve"> </w:t>
      </w:r>
      <w:r>
        <w:t xml:space="preserve">nonclassicality witness — a certificate that the authorized value had</w:t>
      </w:r>
      <w:r>
        <w:t xml:space="preserve"> </w:t>
      </w:r>
      <w:r>
        <w:rPr>
          <w:bCs/>
          <w:b/>
        </w:rPr>
        <w:t xml:space="preserve">no definite pre-measurement (pre-execution) history</w:t>
      </w:r>
      <w:r>
        <w:t xml:space="preserve"> </w:t>
      </w:r>
      <w:r>
        <w:t xml:space="preserve">under the stated assumption.</w:t>
      </w:r>
    </w:p>
    <w:p>
      <w:pPr>
        <w:pStyle w:val="BodyText"/>
      </w:pPr>
      <w:r>
        <w:rPr>
          <w:bCs/>
          <w:b/>
        </w:rPr>
        <w:t xml:space="preserve">Hardware result:</w:t>
      </w:r>
      <w:r>
        <w:t xml:space="preserve"> </w:t>
      </w:r>
      <w:r>
        <w:rPr>
          <w:bCs/>
          <w:b/>
        </w:rPr>
        <w:t xml:space="preserve">K3 = 1.450</w:t>
      </w:r>
      <w:r>
        <w:t xml:space="preserve"> </w:t>
      </w:r>
      <w:r>
        <w:t xml:space="preserve">— violating the macrorealist bound (K3 ≤ 1) at high significance,</w:t>
      </w:r>
      <w:r>
        <w:t xml:space="preserve"> </w:t>
      </w:r>
      <w:r>
        <w:rPr>
          <w:bCs/>
          <w:b/>
        </w:rPr>
        <w:t xml:space="preserve">consistent with quantum mechanics</w:t>
      </w:r>
      <w:r>
        <w:t xml:space="preserve"> </w:t>
      </w:r>
      <w:r>
        <w:t xml:space="preserve">(Lüders bound 1.5).</w:t>
      </w:r>
    </w:p>
    <w:p>
      <w:pPr>
        <w:pStyle w:val="BodyText"/>
      </w:pPr>
      <w:r>
        <w:rPr>
          <w:bCs/>
          <w:b/>
        </w:rPr>
        <w:t xml:space="preserve">All verification checks: PASS</w:t>
      </w:r>
    </w:p>
    <w:p>
      <w:r>
        <w:pict>
          <v:rect style="width:0;height:1.5pt" o:hralign="center" o:hrstd="t" o:hr="t"/>
        </w:pict>
      </w:r>
    </w:p>
    <w:bookmarkEnd w:id="20"/>
    <w:bookmarkStart w:id="21" w:name="design-preregistered"/>
    <w:p>
      <w:pPr>
        <w:pStyle w:val="Heading2"/>
      </w:pPr>
      <w:r>
        <w:t xml:space="preserve">1. Design (preregistered)</w:t>
      </w:r>
    </w:p>
    <w:p>
      <w:pPr>
        <w:pStyle w:val="FirstParagraph"/>
      </w:pPr>
      <w:r>
        <w:t xml:space="preserve">Single qubit, dichotomic observable</w:t>
      </w:r>
      <w:r>
        <w:t xml:space="preserve"> </w:t>
      </w:r>
      <w:r>
        <w:rPr>
          <w:bCs/>
          <w:b/>
        </w:rPr>
        <w:t xml:space="preserve">Q = Z</w:t>
      </w:r>
      <w:r>
        <w:t xml:space="preserve"> </w:t>
      </w:r>
      <w:r>
        <w:t xml:space="preserve">(outcome +1 for |0⟩, −1 for |1⟩). Between measurement times the qubit precesses under</w:t>
      </w:r>
      <w:r>
        <w:t xml:space="preserve"> </w:t>
      </w:r>
      <w:r>
        <w:rPr>
          <w:bCs/>
          <w:b/>
        </w:rPr>
        <w:t xml:space="preserve">R_y(θ = π/3)</w:t>
      </w:r>
      <w:r>
        <w:t xml:space="preserve">.</w:t>
      </w:r>
    </w:p>
    <w:p>
      <w:pPr>
        <w:pStyle w:val="BodyText"/>
      </w:pPr>
      <w:r>
        <w:t xml:space="preserve">Three two-time correlators, each measured in a</w:t>
      </w:r>
      <w:r>
        <w:t xml:space="preserve"> </w:t>
      </w:r>
      <w:r>
        <w:rPr>
          <w:bCs/>
          <w:b/>
        </w:rPr>
        <w:t xml:space="preserve">separate circuit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mid-circuit measurement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C12</w:t>
      </w:r>
      <w:r>
        <w:t xml:space="preserve">: measure(t1) → R_y(θ) → measure(t2)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C23</w:t>
      </w:r>
      <w:r>
        <w:t xml:space="preserve">: R_y(θ) → measure(t2) → R_y(θ) → measure(t3)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C13</w:t>
      </w:r>
      <w:r>
        <w:t xml:space="preserve">: measure(t1) → R_y(2θ) → measure(t3)</w:t>
      </w:r>
    </w:p>
    <w:p>
      <w:pPr>
        <w:pStyle w:val="FirstParagraph"/>
      </w:pPr>
      <w:r>
        <w:rPr>
          <w:bCs/>
          <w:b/>
        </w:rPr>
        <w:t xml:space="preserve">Leggett–Garg K3</w:t>
      </w:r>
      <w:r>
        <w:t xml:space="preserve">:</w:t>
      </w:r>
      <w:r>
        <w:t xml:space="preserve"> </w:t>
      </w:r>
      <w:r>
        <w:rPr>
          <w:rStyle w:val="VerbatimChar"/>
        </w:rPr>
        <w:t xml:space="preserve">K3 = C12 + C23 − C13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Macrorealist bound:</w:t>
      </w:r>
      <w:r>
        <w:t xml:space="preserve"> </w:t>
      </w:r>
      <w:r>
        <w:t xml:space="preserve">K3 ≤ 1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Quantum (Lüders) bound:</w:t>
      </w:r>
      <w:r>
        <w:t xml:space="preserve"> </w:t>
      </w:r>
      <w:r>
        <w:t xml:space="preserve">K3 = 1.5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Ideal predictions:</w:t>
      </w:r>
      <w:r>
        <w:t xml:space="preserve"> </w:t>
      </w:r>
      <w:r>
        <w:t xml:space="preserve">C12 = C23 = +0.5, C13 = −0.5, K3 = 1.5</w:t>
      </w:r>
    </w:p>
    <w:p>
      <w:r>
        <w:pict>
          <v:rect style="width:0;height:1.5pt" o:hralign="center" o:hrstd="t" o:hr="t"/>
        </w:pict>
      </w:r>
    </w:p>
    <w:bookmarkEnd w:id="21"/>
    <w:bookmarkStart w:id="24" w:name="hardware-execution"/>
    <w:p>
      <w:pPr>
        <w:pStyle w:val="Heading2"/>
      </w:pPr>
      <w:r>
        <w:t xml:space="preserve">2. Hardware Execution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ibm_fez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Job ID:</w:t>
      </w:r>
      <w:r>
        <w:t xml:space="preserve"> </w:t>
      </w:r>
      <w:r>
        <w:t xml:space="preserve">d9dkj6ineu4c739nddrg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Shots:</w:t>
      </w:r>
      <w:r>
        <w:t xml:space="preserve"> </w:t>
      </w:r>
      <w:r>
        <w:t xml:space="preserve">2000 per correlator (6000 total)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Submission:</w:t>
      </w:r>
      <w:r>
        <w:t xml:space="preserve"> </w:t>
      </w:r>
      <w:r>
        <w:t xml:space="preserve">2026-07-18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DONE</w:t>
      </w:r>
    </w:p>
    <w:bookmarkStart w:id="22" w:name="measured-correlators"/>
    <w:p>
      <w:pPr>
        <w:pStyle w:val="Heading3"/>
      </w:pPr>
      <w:r>
        <w:t xml:space="preserve">Measured Correlators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Correlator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</w:t>
            </w:r>
          </w:p>
        </w:tc>
      </w:tr>
    </w:tbl>
    <w:bookmarkEnd w:id="22"/>
    <w:bookmarkStart w:id="23" w:name="measured-k3"/>
    <w:p>
      <w:pPr>
        <w:pStyle w:val="Heading3"/>
      </w:pPr>
      <w:r>
        <w:t xml:space="preserve">Measured K3</w:t>
      </w:r>
    </w:p>
    <w:p>
      <w:pPr>
        <w:pStyle w:val="FirstParagraph"/>
      </w:pPr>
      <w:r>
        <w:rPr>
          <w:bCs/>
          <w:b/>
        </w:rPr>
        <w:t xml:space="preserve">K3 = 1.450</w:t>
      </w:r>
    </w:p>
    <w:p>
      <w:pPr>
        <w:numPr>
          <w:ilvl w:val="0"/>
          <w:numId w:val="1004"/>
        </w:numPr>
        <w:pStyle w:val="Compact"/>
      </w:pPr>
      <w:r>
        <w:t xml:space="preserve">Macrorealist bound: K3 ≤ 1 →</w:t>
      </w:r>
      <w:r>
        <w:t xml:space="preserve"> </w:t>
      </w:r>
      <w:r>
        <w:rPr>
          <w:bCs/>
          <w:b/>
        </w:rPr>
        <w:t xml:space="preserve">VIOLATED by 0.450</w:t>
      </w:r>
    </w:p>
    <w:p>
      <w:pPr>
        <w:numPr>
          <w:ilvl w:val="0"/>
          <w:numId w:val="1004"/>
        </w:numPr>
        <w:pStyle w:val="Compact"/>
      </w:pPr>
      <w:r>
        <w:t xml:space="preserve">Statistical significance:</w:t>
      </w:r>
      <w:r>
        <w:t xml:space="preserve"> </w:t>
      </w:r>
      <w:r>
        <w:rPr>
          <w:bCs/>
          <w:b/>
        </w:rPr>
        <w:t xml:space="preserve">&gt; 3σ</w:t>
      </w:r>
      <w:r>
        <w:t xml:space="preserve"> </w:t>
      </w:r>
      <w:r>
        <w:t xml:space="preserve">(shot noise)</w:t>
      </w:r>
    </w:p>
    <w:p>
      <w:pPr>
        <w:numPr>
          <w:ilvl w:val="0"/>
          <w:numId w:val="1004"/>
        </w:numPr>
        <w:pStyle w:val="Compact"/>
      </w:pPr>
      <w:r>
        <w:t xml:space="preserve">Quantum prediction (Lüders): K3 = 1.5</w:t>
      </w:r>
    </w:p>
    <w:p>
      <w:pPr>
        <w:numPr>
          <w:ilvl w:val="0"/>
          <w:numId w:val="1004"/>
        </w:numPr>
        <w:pStyle w:val="Compact"/>
      </w:pPr>
      <w:r>
        <w:t xml:space="preserve">Agreement: 97% of ideal quantum value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verdict"/>
    <w:p>
      <w:pPr>
        <w:pStyle w:val="Heading2"/>
      </w:pPr>
      <w:r>
        <w:t xml:space="preserve">3. Verdict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TEMPORAL NONCLASSICALITY OBSERVED</w:t>
      </w:r>
      <w:r>
        <w:t xml:space="preserve"> </w:t>
      </w:r>
      <w:r>
        <w:t xml:space="preserve">(under stated assumptions)</w:t>
      </w:r>
    </w:p>
    <w:p>
      <w:pPr>
        <w:pStyle w:val="BodyText"/>
      </w:pPr>
      <w:r>
        <w:t xml:space="preserve">The measured temporal correlations</w:t>
      </w:r>
      <w:r>
        <w:t xml:space="preserve"> </w:t>
      </w:r>
      <w:r>
        <w:rPr>
          <w:bCs/>
          <w:b/>
        </w:rPr>
        <w:t xml:space="preserve">violate the macrorealist bound K3 ≤ 1</w:t>
      </w:r>
      <w:r>
        <w:t xml:space="preserve"> </w:t>
      </w:r>
      <w:r>
        <w:t xml:space="preserve">at high significance. Under the non-invasive-measurability (NIM) assumption, this certifies that the authorization value had</w:t>
      </w:r>
      <w:r>
        <w:t xml:space="preserve"> </w:t>
      </w:r>
      <w:r>
        <w:rPr>
          <w:bCs/>
          <w:b/>
        </w:rPr>
        <w:t xml:space="preserve">no definite pre-measurement history</w:t>
      </w:r>
      <w:r>
        <w:t xml:space="preserve"> </w:t>
      </w:r>
      <w:r>
        <w:t xml:space="preserve">— a direct physical rendering of</w:t>
      </w:r>
      <w:r>
        <w:t xml:space="preserve"> </w:t>
      </w:r>
      <w:r>
        <w:t xml:space="preserve">“</w:t>
      </w:r>
      <w:r>
        <w:t xml:space="preserve">Verification Before Execution.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provenance-verification"/>
    <w:p>
      <w:pPr>
        <w:pStyle w:val="Heading2"/>
      </w:pPr>
      <w:r>
        <w:t xml:space="preserve">4. Provenance Verification</w:t>
      </w:r>
    </w:p>
    <w:p>
      <w:pPr>
        <w:pStyle w:val="FirstParagraph"/>
      </w:pPr>
      <w:r>
        <w:t xml:space="preserve">All cryptographic checks</w:t>
      </w:r>
      <w:r>
        <w:t xml:space="preserve"> </w:t>
      </w:r>
      <w:r>
        <w:rPr>
          <w:bCs/>
          <w:b/>
        </w:rPr>
        <w:t xml:space="preserve">PASS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valid (field integrity)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chrono_nonce</w:t>
      </w:r>
      <w:r>
        <w:t xml:space="preserve"> </w:t>
      </w:r>
      <w:r>
        <w:t xml:space="preserve">valid (binds K3 + correlators + job_id + calibration)</w:t>
      </w:r>
    </w:p>
    <w:p>
      <w:pPr>
        <w:numPr>
          <w:ilvl w:val="0"/>
          <w:numId w:val="1005"/>
        </w:numPr>
        <w:pStyle w:val="Compact"/>
      </w:pPr>
      <w:r>
        <w:t xml:space="preserve">✅ Recomputed K3 matches record</w:t>
      </w:r>
    </w:p>
    <w:p>
      <w:pPr>
        <w:pStyle w:val="FirstParagraph"/>
      </w:pPr>
      <w:r>
        <w:rPr>
          <w:bCs/>
          <w:b/>
        </w:rPr>
        <w:t xml:space="preserve">chrono_nonce:</w:t>
      </w:r>
      <w:r>
        <w:t xml:space="preserve"> </w:t>
      </w:r>
      <w:r>
        <w:rPr>
          <w:rStyle w:val="VerbatimChar"/>
        </w:rPr>
        <w:t xml:space="preserve">2debb6ec00ccfd937c791352849769c742bb5020725bde49864302f0e11a0473</w:t>
      </w:r>
      <w:r>
        <w:br/>
      </w:r>
      <w:r>
        <w:rPr>
          <w:bCs/>
          <w:b/>
        </w:rPr>
        <w:t xml:space="preserve">record_hash:</w:t>
      </w:r>
      <w:r>
        <w:t xml:space="preserve"> </w:t>
      </w:r>
      <w:r>
        <w:rPr>
          <w:rStyle w:val="VerbatimChar"/>
        </w:rPr>
        <w:t xml:space="preserve">42472a7158de0c11b0960c834cac902237c4e606dc43df7a34f1971dccfb3d2b</w:t>
      </w:r>
    </w:p>
    <w:p>
      <w:pPr>
        <w:pStyle w:val="BodyText"/>
      </w:pPr>
      <w:r>
        <w:t xml:space="preserve">Independent third-party verification:</w:t>
      </w:r>
      <w:r>
        <w:t xml:space="preserve"> </w:t>
      </w:r>
      <w:r>
        <w:rPr>
          <w:rStyle w:val="VerbatimChar"/>
        </w:rPr>
        <w:t xml:space="preserve">python3 src/verify.py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6"/>
    <w:bookmarkStart w:id="27" w:name="honesty-boundary-mandatory-disclosure"/>
    <w:p>
      <w:pPr>
        <w:pStyle w:val="Heading2"/>
      </w:pPr>
      <w:r>
        <w:t xml:space="preserve">5. Honesty Boundary (mandatory disclosure)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device-dependent, single-system TEMPORAL witness</w:t>
      </w:r>
      <w:r>
        <w:t xml:space="preserve"> </w:t>
      </w:r>
      <w:r>
        <w:t xml:space="preserve">under the</w:t>
      </w:r>
      <w:r>
        <w:t xml:space="preserve"> </w:t>
      </w:r>
      <w:r>
        <w:rPr>
          <w:bCs/>
          <w:b/>
        </w:rPr>
        <w:t xml:space="preserve">non-invasive-measurability (NIM)</w:t>
      </w:r>
      <w:r>
        <w:t xml:space="preserve"> </w:t>
      </w:r>
      <w:r>
        <w:t xml:space="preserve">assumption: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Clumsiness loophole OPEN</w:t>
      </w:r>
      <w:r>
        <w:t xml:space="preserve">: The Leggett–Garg inequality assumes measurements do not disturb the system. Projective qubit measurements are invasive, so a determined macrorealist can attribute K3 &gt; 1 to measurement disturbance.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NOT loophole-free</w:t>
      </w:r>
      <w:r>
        <w:t xml:space="preserve">: This is not a refutation of all macrorealist models.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NOT device-independent</w:t>
      </w:r>
      <w:r>
        <w:t xml:space="preserve">: Single device, no device-independence is claimed.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NOT certified randomness</w:t>
      </w:r>
      <w:r>
        <w:t xml:space="preserve">: No claim of device-independent certified entropy.</w:t>
      </w:r>
    </w:p>
    <w:p>
      <w:pPr>
        <w:pStyle w:val="FirstParagraph"/>
      </w:pPr>
      <w:r>
        <w:rPr>
          <w:bCs/>
          <w:b/>
        </w:rPr>
        <w:t xml:space="preserve">Only defensible claim:</w:t>
      </w:r>
      <w:r>
        <w:br/>
      </w:r>
      <w:r>
        <w:rPr>
          <w:iCs/>
          <w:i/>
        </w:rPr>
        <w:t xml:space="preserve">“</w:t>
      </w:r>
      <w:r>
        <w:rPr>
          <w:iCs/>
          <w:i/>
        </w:rPr>
        <w:t xml:space="preserve">Observed temporal correlations violating the macrorealist bound K3 ≤ 1 on quantum hardware, under the non-invasive-measurability assumption, cryptographically bound into the authorization record.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Start w:id="28" w:name="novelty-vs.-prior-rf-series"/>
    <w:p>
      <w:pPr>
        <w:pStyle w:val="Heading2"/>
      </w:pPr>
      <w:r>
        <w:t xml:space="preserve">6. Novelty vs. Prior RF Series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229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Phenomenon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witnessed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</w:t>
            </w:r>
            <w:r>
              <w:t xml:space="preserve"> </w:t>
            </w:r>
            <w:r>
              <w:rPr>
                <w:bCs/>
                <w:b/>
              </w:rP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exact-match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of superposition nonce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assumed</w:t>
            </w:r>
            <w:r>
              <w:t xml:space="preserve"> </w:t>
            </w:r>
            <w:r>
              <w:t xml:space="preserve">unpredictability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BELLWETHER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spatial</w:t>
            </w:r>
            <w:r>
              <w:t xml:space="preserve"> </w:t>
            </w:r>
            <w:r>
              <w:t xml:space="preserve">nonclassicality (CHSH Bell)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 violation bound into nonce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CHRONO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temporal</w:t>
            </w:r>
            <w:r>
              <w:t xml:space="preserve"> </w:t>
            </w:r>
            <w:r>
              <w:t xml:space="preserve">nonclassicality (Leggett–Garg K3)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time-ordered</w:t>
            </w:r>
            <w:r>
              <w:t xml:space="preserve"> </w:t>
            </w:r>
            <w:r>
              <w:t xml:space="preserve">nonclassicality bound into nonce</w:t>
            </w:r>
          </w:p>
        </w:tc>
      </w:tr>
    </w:tbl>
    <w:p>
      <w:pPr>
        <w:pStyle w:val="BodyText"/>
      </w:pPr>
      <w:r>
        <w:t xml:space="preserve">CHRONO witnesses nonclassicality</w:t>
      </w:r>
      <w:r>
        <w:t xml:space="preserve"> </w:t>
      </w:r>
      <w:r>
        <w:rPr>
          <w:bCs/>
          <w:b/>
        </w:rPr>
        <w:t xml:space="preserve">across time</w:t>
      </w:r>
      <w:r>
        <w:t xml:space="preserve"> </w:t>
      </w:r>
      <w:r>
        <w:t xml:space="preserve">— the physical statement most directly aligned with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Verification Before Execution</w:t>
      </w:r>
      <w:r>
        <w:rPr>
          <w:bCs/>
          <w:b/>
        </w:rPr>
        <w:t xml:space="preserve">”</w:t>
      </w:r>
      <w:r>
        <w:t xml:space="preserve">: the value did not exist definitely before it was verified.</w:t>
      </w:r>
    </w:p>
    <w:p>
      <w:r>
        <w:pict>
          <v:rect style="width:0;height:1.5pt" o:hralign="center" o:hrstd="t" o:hr="t"/>
        </w:pict>
      </w:r>
    </w:p>
    <w:bookmarkEnd w:id="28"/>
    <w:bookmarkStart w:id="29" w:name="commercial-implication"/>
    <w:p>
      <w:pPr>
        <w:pStyle w:val="Heading2"/>
      </w:pPr>
      <w:r>
        <w:t xml:space="preserve">7. Commercial Implication</w:t>
      </w:r>
    </w:p>
    <w:p>
      <w:pPr>
        <w:pStyle w:val="FirstParagraph"/>
      </w:pPr>
      <w:r>
        <w:t xml:space="preserve">CHRONO extends the ExecutionProof patent family with a</w:t>
      </w:r>
      <w:r>
        <w:t xml:space="preserve"> </w:t>
      </w:r>
      <w:r>
        <w:rPr>
          <w:bCs/>
          <w:b/>
        </w:rPr>
        <w:t xml:space="preserve">temporal</w:t>
      </w:r>
      <w:r>
        <w:t xml:space="preserve"> </w:t>
      </w:r>
      <w:r>
        <w:t xml:space="preserve">entropy/authorization primitive: a ProofRecord whose seed is certified to have possessed</w:t>
      </w:r>
      <w:r>
        <w:t xml:space="preserve"> </w:t>
      </w:r>
      <w:r>
        <w:rPr>
          <w:bCs/>
          <w:b/>
        </w:rPr>
        <w:t xml:space="preserve">no definite value prior to its verification event</w:t>
      </w:r>
      <w:r>
        <w:t xml:space="preserve"> </w:t>
      </w:r>
      <w:r>
        <w:t xml:space="preserve">(under NIM). Candidate RF-100 use:</w:t>
      </w:r>
      <w:r>
        <w:t xml:space="preserve"> </w:t>
      </w:r>
      <w:r>
        <w:rPr>
          <w:bCs/>
          <w:b/>
        </w:rPr>
        <w:t xml:space="preserve">anti-replay / freshness certificates in time-ordered authorization</w:t>
      </w:r>
      <w:r>
        <w:t xml:space="preserve"> </w:t>
      </w:r>
      <w:r>
        <w:t xml:space="preserve">(a token that provably could not have been precomputed).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To God be the glory. Proof Before Power. Verification Before Execution.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2026-07-18T13:04:14Z</dcterms:created>
  <dcterms:modified xsi:type="dcterms:W3CDTF">2026-07-18T13:04:14Z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