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ncient-music-reconstruction"/>
    <w:p>
      <w:pPr>
        <w:pStyle w:val="Heading1"/>
      </w:pPr>
      <w:r>
        <w:t xml:space="preserve">Ancient Music Reconstruction</w:t>
      </w:r>
    </w:p>
    <w:bookmarkStart w:id="20" w:name="X4b4957124bff42cb223a2c5214d1d046cc495f7"/>
    <w:p>
      <w:pPr>
        <w:pStyle w:val="Heading3"/>
      </w:pPr>
      <w:r>
        <w:t xml:space="preserve">Performance Recovered from Notation—with Gaps</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04</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partial recovery. Musical notation from ancient Greece, medieval Europe, and Renaissance polyphony has survived in thousands of manuscripts—but the living performance practice that gave those symbols meaning has been lost and incompletely recovered. Modern reconstructions exist, but they represent scholarly approximation, not seamless restoration of the original sonic experience.</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performance be recovered from notation alone when the living tradition is severed?</w:t>
      </w:r>
    </w:p>
    <w:p>
      <w:pPr>
        <w:pStyle w:val="BodyText"/>
      </w:pPr>
      <w:r>
        <w:t xml:space="preserve">Musical notation is a partial encoding of performance: it preserves</w:t>
      </w:r>
      <w:r>
        <w:t xml:space="preserve"> </w:t>
      </w:r>
      <w:r>
        <w:rPr>
          <w:iCs/>
          <w:i/>
        </w:rPr>
        <w:t xml:space="preserve">some</w:t>
      </w:r>
      <w:r>
        <w:t xml:space="preserve"> </w:t>
      </w:r>
      <w:r>
        <w:t xml:space="preserve">aspects of music (pitch relationships, rhythmic structure, textual underlay) while leaving others implicit or unrecorded (tempo, articulation, ornamentation, timbre, tuning systems, ensemble balance, expressive nuance). When a living performance tradition is active, these gaps are filled by transmitted practice—teachers demonstrate, students imitate, and the unwritten knowledge passes from body to body.</w:t>
      </w:r>
    </w:p>
    <w:p>
      <w:pPr>
        <w:pStyle w:val="BodyText"/>
      </w:pPr>
      <w:r>
        <w:t xml:space="preserve">When the tradition breaks—when no one alive remembers how the music was meant to sound—notation becomes an incomplete map. The question for CIF is whether the map can be read well enough to recover the territory, and what kinds of knowledge are permanently lost.</w:t>
      </w:r>
    </w:p>
    <w:p>
      <w:pPr>
        <w:pStyle w:val="BodyText"/>
      </w:pPr>
      <w:r>
        <w:t xml:space="preserve">This case examines three historical recovery scenarios:</w:t>
      </w:r>
    </w:p>
    <w:p>
      <w:pPr>
        <w:numPr>
          <w:ilvl w:val="0"/>
          <w:numId w:val="1001"/>
        </w:numPr>
        <w:pStyle w:val="Compact"/>
      </w:pPr>
      <w:r>
        <w:rPr>
          <w:bCs/>
          <w:b/>
        </w:rPr>
        <w:t xml:space="preserve">Ancient Greek music</w:t>
      </w:r>
      <w:r>
        <w:t xml:space="preserve"> </w:t>
      </w:r>
      <w:r>
        <w:t xml:space="preserve">(fragments, ~500 BCE to 400 CE): notation survived; tuning, timbre, and performance context are partially recoverable via theory texts but remain contested.</w:t>
      </w:r>
    </w:p>
    <w:p>
      <w:pPr>
        <w:numPr>
          <w:ilvl w:val="0"/>
          <w:numId w:val="1001"/>
        </w:numPr>
        <w:pStyle w:val="Compact"/>
      </w:pPr>
      <w:r>
        <w:rPr>
          <w:bCs/>
          <w:b/>
        </w:rPr>
        <w:t xml:space="preserve">Early medieval chant</w:t>
      </w:r>
      <w:r>
        <w:t xml:space="preserve"> </w:t>
      </w:r>
      <w:r>
        <w:t xml:space="preserve">(9th–11th centuries): notation preserved pitch contours but not absolute pitch, rhythm, or tempo; recovery required combining manuscripts with later practice and liturgical context.</w:t>
      </w:r>
    </w:p>
    <w:p>
      <w:pPr>
        <w:numPr>
          <w:ilvl w:val="0"/>
          <w:numId w:val="1001"/>
        </w:numPr>
        <w:pStyle w:val="Compact"/>
      </w:pPr>
      <w:r>
        <w:rPr>
          <w:bCs/>
          <w:b/>
        </w:rPr>
        <w:t xml:space="preserve">Renaissance polyphony</w:t>
      </w:r>
      <w:r>
        <w:t xml:space="preserve"> </w:t>
      </w:r>
      <w:r>
        <w:t xml:space="preserve">(15th–16th centuries): detailed notation survived; recovery is high-fidelity but still approximates lost details (pronunciation, tuning temperament, vibrato practices).</w:t>
      </w:r>
    </w:p>
    <w:p>
      <w:pPr>
        <w:pStyle w:val="FirstParagraph"/>
      </w:pPr>
      <w:r>
        <w:t xml:space="preserve">The CIF question is not whether these recoveries are</w:t>
      </w:r>
      <w:r>
        <w:t xml:space="preserve"> </w:t>
      </w:r>
      <w:r>
        <w:t xml:space="preserve">“</w:t>
      </w:r>
      <w:r>
        <w:t xml:space="preserve">good enough</w:t>
      </w:r>
      <w:r>
        <w:t xml:space="preserve">”</w:t>
      </w:r>
      <w:r>
        <w:t xml:space="preserve"> </w:t>
      </w:r>
      <w:r>
        <w:t xml:space="preserve">for modern performance. It is:</w:t>
      </w:r>
      <w:r>
        <w:t xml:space="preserve"> </w:t>
      </w:r>
      <w:r>
        <w:rPr>
          <w:bCs/>
          <w:b/>
        </w:rPr>
        <w:t xml:space="preserve">what layers of the original inheritance were recoverable, what was irrecoverably lost, and what does this tell us about designing systems to survive performance discontinuity?</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2"/>
        </w:numPr>
        <w:pStyle w:val="Compact"/>
      </w:pPr>
      <w:r>
        <w:rPr>
          <w:bCs/>
          <w:b/>
        </w:rPr>
        <w:t xml:space="preserve">Ancient Greek music:</w:t>
      </w:r>
      <w:r>
        <w:t xml:space="preserve"> </w:t>
      </w:r>
      <w:r>
        <w:t xml:space="preserve">Approximately 60 fragments of Greek musical notation survive, mostly from the Hellenistic and Roman periods. The notation system is understood; pitch intervals can be reconstructed. Ancient theorists (Aristoxenus, Ptolemy, Aristotle) left detailed descriptions of modes, tuning systems, and the ethical/emotional effects of music.</w:t>
      </w:r>
    </w:p>
    <w:p>
      <w:pPr>
        <w:numPr>
          <w:ilvl w:val="0"/>
          <w:numId w:val="1002"/>
        </w:numPr>
        <w:pStyle w:val="Compact"/>
      </w:pPr>
      <w:r>
        <w:rPr>
          <w:bCs/>
          <w:b/>
        </w:rPr>
        <w:t xml:space="preserve">Early medieval chant:</w:t>
      </w:r>
      <w:r>
        <w:t xml:space="preserve"> </w:t>
      </w:r>
      <w:r>
        <w:t xml:space="preserve">Thousands of manuscripts contain neumes (early musical notation), but early neumes (9th–10th centuries) indicated melodic contour without specifying exact intervals or rhythm. Square notation (11th century onward) became more precise.</w:t>
      </w:r>
    </w:p>
    <w:p>
      <w:pPr>
        <w:numPr>
          <w:ilvl w:val="0"/>
          <w:numId w:val="1002"/>
        </w:numPr>
        <w:pStyle w:val="Compact"/>
      </w:pPr>
      <w:r>
        <w:rPr>
          <w:bCs/>
          <w:b/>
        </w:rPr>
        <w:t xml:space="preserve">Renaissance polyphony:</w:t>
      </w:r>
      <w:r>
        <w:t xml:space="preserve"> </w:t>
      </w:r>
      <w:r>
        <w:t xml:space="preserve">Detailed mensural notation survives for works by Josquin, Palestrina, Victoria, and others. Modern transcriptions are largely reliable for pitch and rhythm.</w:t>
      </w:r>
    </w:p>
    <w:p>
      <w:pPr>
        <w:numPr>
          <w:ilvl w:val="0"/>
          <w:numId w:val="1002"/>
        </w:numPr>
        <w:pStyle w:val="Compact"/>
      </w:pPr>
      <w:r>
        <w:rPr>
          <w:bCs/>
          <w:b/>
        </w:rPr>
        <w:t xml:space="preserve">Living traditions lost:</w:t>
      </w:r>
      <w:r>
        <w:t xml:space="preserve"> </w:t>
      </w:r>
      <w:r>
        <w:t xml:space="preserve">No continuous performance tradition links ancient Greek music to the present. Early medieval chant performance practice was disrupted by notation reforms and stylistic changes. Renaissance performance practice ended as Baroque aesthetics replaced it.</w:t>
      </w:r>
    </w:p>
    <w:bookmarkEnd w:id="23"/>
    <w:bookmarkStart w:id="24" w:name="key-sources"/>
    <w:p>
      <w:pPr>
        <w:pStyle w:val="Heading3"/>
      </w:pPr>
      <w:r>
        <w:t xml:space="preserve">Key Sources</w:t>
      </w:r>
    </w:p>
    <w:p>
      <w:pPr>
        <w:numPr>
          <w:ilvl w:val="0"/>
          <w:numId w:val="1003"/>
        </w:numPr>
        <w:pStyle w:val="Compact"/>
      </w:pPr>
      <w:r>
        <w:t xml:space="preserve">Hagel, S. (2009).</w:t>
      </w:r>
      <w:r>
        <w:t xml:space="preserve"> </w:t>
      </w:r>
      <w:r>
        <w:rPr>
          <w:iCs/>
          <w:i/>
        </w:rPr>
        <w:t xml:space="preserve">Ancient Greek Music: A New Technical History</w:t>
      </w:r>
      <w:r>
        <w:t xml:space="preserve">. Cambridge University Press.</w:t>
      </w:r>
    </w:p>
    <w:p>
      <w:pPr>
        <w:numPr>
          <w:ilvl w:val="0"/>
          <w:numId w:val="1003"/>
        </w:numPr>
        <w:pStyle w:val="Compact"/>
      </w:pPr>
      <w:r>
        <w:t xml:space="preserve">West, M.L. (1992).</w:t>
      </w:r>
      <w:r>
        <w:t xml:space="preserve"> </w:t>
      </w:r>
      <w:r>
        <w:rPr>
          <w:iCs/>
          <w:i/>
        </w:rPr>
        <w:t xml:space="preserve">Ancient Greek Music</w:t>
      </w:r>
      <w:r>
        <w:t xml:space="preserve">. Oxford University Press.</w:t>
      </w:r>
    </w:p>
    <w:p>
      <w:pPr>
        <w:numPr>
          <w:ilvl w:val="0"/>
          <w:numId w:val="1003"/>
        </w:numPr>
        <w:pStyle w:val="Compact"/>
      </w:pPr>
      <w:r>
        <w:t xml:space="preserve">Levy, K. (1998).</w:t>
      </w:r>
      <w:r>
        <w:t xml:space="preserve"> </w:t>
      </w:r>
      <w:r>
        <w:rPr>
          <w:iCs/>
          <w:i/>
        </w:rPr>
        <w:t xml:space="preserve">Gregorian Chant and the Carolingians</w:t>
      </w:r>
      <w:r>
        <w:t xml:space="preserve">. Princeton University Press.</w:t>
      </w:r>
    </w:p>
    <w:p>
      <w:pPr>
        <w:numPr>
          <w:ilvl w:val="0"/>
          <w:numId w:val="1003"/>
        </w:numPr>
        <w:pStyle w:val="Compact"/>
      </w:pPr>
      <w:r>
        <w:t xml:space="preserve">Treitler, L. (1982).</w:t>
      </w:r>
      <w:r>
        <w:t xml:space="preserve"> </w:t>
      </w:r>
      <w:r>
        <w:t xml:space="preserve">“</w:t>
      </w:r>
      <w:r>
        <w:t xml:space="preserve">The Early History of Music Writing in the West,</w:t>
      </w:r>
      <w:r>
        <w:t xml:space="preserve">”</w:t>
      </w:r>
      <w:r>
        <w:t xml:space="preserve"> </w:t>
      </w:r>
      <w:r>
        <w:rPr>
          <w:iCs/>
          <w:i/>
        </w:rPr>
        <w:t xml:space="preserve">Journal of the American Musicological Society</w:t>
      </w:r>
      <w:r>
        <w:t xml:space="preserve"> </w:t>
      </w:r>
      <w:r>
        <w:t xml:space="preserve">35(2): 237–279.</w:t>
      </w:r>
    </w:p>
    <w:p>
      <w:pPr>
        <w:numPr>
          <w:ilvl w:val="0"/>
          <w:numId w:val="1003"/>
        </w:numPr>
        <w:pStyle w:val="Compact"/>
      </w:pPr>
      <w:r>
        <w:t xml:space="preserve">Atlas, A.W. (1998).</w:t>
      </w:r>
      <w:r>
        <w:t xml:space="preserve"> </w:t>
      </w:r>
      <w:r>
        <w:rPr>
          <w:iCs/>
          <w:i/>
        </w:rPr>
        <w:t xml:space="preserve">Renaissance Music</w:t>
      </w:r>
      <w:r>
        <w:t xml:space="preserve">. W.W. Norton.</w:t>
      </w:r>
    </w:p>
    <w:p>
      <w:pPr>
        <w:numPr>
          <w:ilvl w:val="0"/>
          <w:numId w:val="1003"/>
        </w:numPr>
        <w:pStyle w:val="Compact"/>
      </w:pPr>
      <w:r>
        <w:t xml:space="preserve">Taruskin, R. (1995).</w:t>
      </w:r>
      <w:r>
        <w:t xml:space="preserve"> </w:t>
      </w:r>
      <w:r>
        <w:rPr>
          <w:iCs/>
          <w:i/>
        </w:rPr>
        <w:t xml:space="preserve">Text and Act: Essays on Music and Performance</w:t>
      </w:r>
      <w:r>
        <w:t xml:space="preserve">. Oxford University Press.</w:t>
      </w:r>
    </w:p>
    <w:bookmarkEnd w:id="24"/>
    <w:bookmarkStart w:id="25" w:name="contested-or-speculative-claims"/>
    <w:p>
      <w:pPr>
        <w:pStyle w:val="Heading3"/>
      </w:pPr>
      <w:r>
        <w:t xml:space="preserve">Contested or Speculative Claims</w:t>
      </w:r>
    </w:p>
    <w:p>
      <w:pPr>
        <w:numPr>
          <w:ilvl w:val="0"/>
          <w:numId w:val="1004"/>
        </w:numPr>
        <w:pStyle w:val="Compact"/>
      </w:pPr>
      <w:r>
        <w:rPr>
          <w:bCs/>
          <w:b/>
        </w:rPr>
        <w:t xml:space="preserve">Ancient Greek tuning:</w:t>
      </w:r>
      <w:r>
        <w:t xml:space="preserve"> </w:t>
      </w:r>
      <w:r>
        <w:t xml:space="preserve">Whether Greek music used just intonation, Pythagorean tuning, or other temperaments remains debated.</w:t>
      </w:r>
    </w:p>
    <w:p>
      <w:pPr>
        <w:numPr>
          <w:ilvl w:val="0"/>
          <w:numId w:val="1004"/>
        </w:numPr>
        <w:pStyle w:val="Compact"/>
      </w:pPr>
      <w:r>
        <w:rPr>
          <w:bCs/>
          <w:b/>
        </w:rPr>
        <w:t xml:space="preserve">Tempo and rhythm:</w:t>
      </w:r>
      <w:r>
        <w:t xml:space="preserve"> </w:t>
      </w:r>
      <w:r>
        <w:t xml:space="preserve">Ancient sources describe rhythmic modes but do not specify absolute tempos. Medieval neumes do not encode rhythm; scholarly reconstructions differ significantly.</w:t>
      </w:r>
    </w:p>
    <w:p>
      <w:pPr>
        <w:numPr>
          <w:ilvl w:val="0"/>
          <w:numId w:val="1004"/>
        </w:numPr>
        <w:pStyle w:val="Compact"/>
      </w:pPr>
      <w:r>
        <w:rPr>
          <w:bCs/>
          <w:b/>
        </w:rPr>
        <w:t xml:space="preserve">Ornamentation:</w:t>
      </w:r>
      <w:r>
        <w:t xml:space="preserve"> </w:t>
      </w:r>
      <w:r>
        <w:t xml:space="preserve">How much singers ornamented plainchant, and what kinds of ornamentation were appropriate, is inferred from later practice and theoretical descriptions but cannot be proven.</w:t>
      </w:r>
    </w:p>
    <w:p>
      <w:pPr>
        <w:numPr>
          <w:ilvl w:val="0"/>
          <w:numId w:val="1004"/>
        </w:numPr>
        <w:pStyle w:val="Compact"/>
      </w:pPr>
      <w:r>
        <w:rPr>
          <w:bCs/>
          <w:b/>
        </w:rPr>
        <w:t xml:space="preserve">Expressive intent:</w:t>
      </w:r>
      <w:r>
        <w:t xml:space="preserve"> </w:t>
      </w:r>
      <w:r>
        <w:t xml:space="preserve">Whether ancient or medieval musicians valued expressivity, restraint, or rhetorical declamation is inferred from cultural context, not directly documented.</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5"/>
        </w:numPr>
        <w:pStyle w:val="Compact"/>
      </w:pPr>
      <w:r>
        <w:t xml:space="preserve">Musical notation systems (Greek notation, neumes, mensural notation) are understood and can be transcribed into modern notation.</w:t>
      </w:r>
    </w:p>
    <w:p>
      <w:pPr>
        <w:numPr>
          <w:ilvl w:val="0"/>
          <w:numId w:val="1005"/>
        </w:numPr>
        <w:pStyle w:val="Compact"/>
      </w:pPr>
      <w:r>
        <w:t xml:space="preserve">Theoretical treatises describe tuning, modes, and compositional principles.</w:t>
      </w:r>
    </w:p>
    <w:p>
      <w:pPr>
        <w:numPr>
          <w:ilvl w:val="0"/>
          <w:numId w:val="1005"/>
        </w:numPr>
        <w:pStyle w:val="Compact"/>
      </w:pPr>
      <w:r>
        <w:t xml:space="preserve">Some instruments have been archaeologically recovered or described in detail (Greek aulos, medieval harps, Renaissance lutes).</w:t>
      </w:r>
    </w:p>
    <w:p>
      <w:pPr>
        <w:numPr>
          <w:ilvl w:val="0"/>
          <w:numId w:val="1005"/>
        </w:numPr>
        <w:pStyle w:val="Compact"/>
      </w:pPr>
      <w:r>
        <w:t xml:space="preserve">Modern scholarly reconstructions exist and are performed by early music ensembles worldwide.</w:t>
      </w:r>
    </w:p>
    <w:bookmarkEnd w:id="27"/>
    <w:bookmarkStart w:id="28" w:name="plausible-inference"/>
    <w:p>
      <w:pPr>
        <w:pStyle w:val="Heading3"/>
      </w:pPr>
      <w:r>
        <w:t xml:space="preserve">PLAUSIBLE INFERENCE</w:t>
      </w:r>
    </w:p>
    <w:p>
      <w:pPr>
        <w:numPr>
          <w:ilvl w:val="0"/>
          <w:numId w:val="1006"/>
        </w:numPr>
        <w:pStyle w:val="Compact"/>
      </w:pPr>
      <w:r>
        <w:t xml:space="preserve">Tuning systems can be partially reconstructed from theoretical descriptions and instrument measurements.</w:t>
      </w:r>
    </w:p>
    <w:p>
      <w:pPr>
        <w:numPr>
          <w:ilvl w:val="0"/>
          <w:numId w:val="1006"/>
        </w:numPr>
        <w:pStyle w:val="Compact"/>
      </w:pPr>
      <w:r>
        <w:t xml:space="preserve">Performance tempo can be inferred from liturgical context, text declamation, and acoustic properties of performance spaces.</w:t>
      </w:r>
    </w:p>
    <w:p>
      <w:pPr>
        <w:numPr>
          <w:ilvl w:val="0"/>
          <w:numId w:val="1006"/>
        </w:numPr>
        <w:pStyle w:val="Compact"/>
      </w:pPr>
      <w:r>
        <w:t xml:space="preserve">Ensemble size and vocal timbre can be estimated from architectural acoustics, manuscript provenance, and contemporary descriptions.</w:t>
      </w:r>
    </w:p>
    <w:p>
      <w:pPr>
        <w:numPr>
          <w:ilvl w:val="0"/>
          <w:numId w:val="1006"/>
        </w:numPr>
        <w:pStyle w:val="Compact"/>
      </w:pPr>
      <w:r>
        <w:t xml:space="preserve">Ornamentation practices can be partially inferred from later traditions (e.g., Baroque ornamentation as a possible descendant of Renaissance practice).</w:t>
      </w:r>
    </w:p>
    <w:bookmarkEnd w:id="28"/>
    <w:bookmarkStart w:id="29" w:name="speculative"/>
    <w:p>
      <w:pPr>
        <w:pStyle w:val="Heading3"/>
      </w:pPr>
      <w:r>
        <w:t xml:space="preserve">SPECULATIVE</w:t>
      </w:r>
    </w:p>
    <w:p>
      <w:pPr>
        <w:numPr>
          <w:ilvl w:val="0"/>
          <w:numId w:val="1007"/>
        </w:numPr>
        <w:pStyle w:val="Compact"/>
      </w:pPr>
      <w:r>
        <w:t xml:space="preserve">Exact timbral qualities of ancient voices and lost instrument types.</w:t>
      </w:r>
    </w:p>
    <w:p>
      <w:pPr>
        <w:numPr>
          <w:ilvl w:val="0"/>
          <w:numId w:val="1007"/>
        </w:numPr>
        <w:pStyle w:val="Compact"/>
      </w:pPr>
      <w:r>
        <w:t xml:space="preserve">Emotional or spiritual</w:t>
      </w:r>
      <w:r>
        <w:t xml:space="preserve"> </w:t>
      </w:r>
      <w:r>
        <w:rPr>
          <w:iCs/>
          <w:i/>
        </w:rPr>
        <w:t xml:space="preserve">experience</w:t>
      </w:r>
      <w:r>
        <w:t xml:space="preserve"> </w:t>
      </w:r>
      <w:r>
        <w:t xml:space="preserve">of the music as heard by original audiences.</w:t>
      </w:r>
    </w:p>
    <w:p>
      <w:pPr>
        <w:numPr>
          <w:ilvl w:val="0"/>
          <w:numId w:val="1007"/>
        </w:numPr>
        <w:pStyle w:val="Compact"/>
      </w:pPr>
      <w:r>
        <w:t xml:space="preserve">Whether modern reconstructions sound</w:t>
      </w:r>
      <w:r>
        <w:t xml:space="preserve"> </w:t>
      </w:r>
      <w:r>
        <w:t xml:space="preserve">“</w:t>
      </w:r>
      <w:r>
        <w:t xml:space="preserve">close</w:t>
      </w:r>
      <w:r>
        <w:t xml:space="preserve">”</w:t>
      </w:r>
      <w:r>
        <w:t xml:space="preserve"> </w:t>
      </w:r>
      <w:r>
        <w:t xml:space="preserve">to the originals—no recording exists to compare.</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Music operated within overlapping fields:</w:t>
      </w:r>
    </w:p>
    <w:p>
      <w:pPr>
        <w:numPr>
          <w:ilvl w:val="0"/>
          <w:numId w:val="1008"/>
        </w:numPr>
        <w:pStyle w:val="Compact"/>
      </w:pPr>
      <w:r>
        <w:rPr>
          <w:bCs/>
          <w:b/>
        </w:rPr>
        <w:t xml:space="preserve">Acoustic field:</w:t>
      </w:r>
      <w:r>
        <w:t xml:space="preserve"> </w:t>
      </w:r>
      <w:r>
        <w:t xml:space="preserve">Instruments, voices, performance spaces.</w:t>
      </w:r>
    </w:p>
    <w:p>
      <w:pPr>
        <w:numPr>
          <w:ilvl w:val="0"/>
          <w:numId w:val="1008"/>
        </w:numPr>
        <w:pStyle w:val="Compact"/>
      </w:pPr>
      <w:r>
        <w:rPr>
          <w:bCs/>
          <w:b/>
        </w:rPr>
        <w:t xml:space="preserve">Cultural field:</w:t>
      </w:r>
      <w:r>
        <w:t xml:space="preserve"> </w:t>
      </w:r>
      <w:r>
        <w:t xml:space="preserve">Liturgy, court ceremonial, theater, symposia.</w:t>
      </w:r>
    </w:p>
    <w:p>
      <w:pPr>
        <w:numPr>
          <w:ilvl w:val="0"/>
          <w:numId w:val="1008"/>
        </w:numPr>
        <w:pStyle w:val="Compact"/>
      </w:pPr>
      <w:r>
        <w:rPr>
          <w:bCs/>
          <w:b/>
        </w:rPr>
        <w:t xml:space="preserve">Pedagogical field:</w:t>
      </w:r>
      <w:r>
        <w:t xml:space="preserve"> </w:t>
      </w:r>
      <w:r>
        <w:t xml:space="preserve">Master-student transmission, oral tradition alongside notation.</w:t>
      </w:r>
    </w:p>
    <w:p>
      <w:pPr>
        <w:numPr>
          <w:ilvl w:val="0"/>
          <w:numId w:val="1008"/>
        </w:numPr>
        <w:pStyle w:val="Compact"/>
      </w:pPr>
      <w:r>
        <w:rPr>
          <w:bCs/>
          <w:b/>
        </w:rPr>
        <w:t xml:space="preserve">Theoretical field:</w:t>
      </w:r>
      <w:r>
        <w:t xml:space="preserve"> </w:t>
      </w:r>
      <w:r>
        <w:t xml:space="preserve">Writings on harmony, rhythm, modes, ethics of music.</w:t>
      </w:r>
    </w:p>
    <w:p>
      <w:pPr>
        <w:pStyle w:val="FirstParagraph"/>
      </w:pPr>
      <w:r>
        <w:t xml:space="preserve">When the cultural and pedagogical fields collapsed (e.g., the end of ancient Greek symposium culture, the liturgical reforms that altered chant performance), notation alone could not preserve the full system. The acoustic and theoretical fields persisted in partial form (via treatises and instrument descriptions), enabling incomplete recovery.</w:t>
      </w:r>
    </w:p>
    <w:p>
      <w:pPr>
        <w:pStyle w:val="BodyText"/>
      </w:pPr>
      <w:r>
        <w:rPr>
          <w:bCs/>
          <w:b/>
        </w:rPr>
        <w:t xml:space="preserve">CIF implication:</w:t>
      </w:r>
      <w:r>
        <w:t xml:space="preserve"> </w:t>
      </w:r>
      <w:r>
        <w:t xml:space="preserve">Notation preserves the</w:t>
      </w:r>
      <w:r>
        <w:t xml:space="preserve"> </w:t>
      </w:r>
      <w:r>
        <w:rPr>
          <w:iCs/>
          <w:i/>
        </w:rPr>
        <w:t xml:space="preserve">data layer</w:t>
      </w:r>
      <w:r>
        <w:t xml:space="preserve"> </w:t>
      </w:r>
      <w:r>
        <w:t xml:space="preserve">but depends on the continuity of the pedagogical and cultural fields to preserve the</w:t>
      </w:r>
      <w:r>
        <w:t xml:space="preserve"> </w:t>
      </w:r>
      <w:r>
        <w:rPr>
          <w:iCs/>
          <w:i/>
        </w:rPr>
        <w:t xml:space="preserve">method</w:t>
      </w:r>
      <w:r>
        <w:t xml:space="preserve"> </w:t>
      </w:r>
      <w:r>
        <w:t xml:space="preserve">and</w:t>
      </w:r>
      <w:r>
        <w:t xml:space="preserve"> </w:t>
      </w:r>
      <w:r>
        <w:rPr>
          <w:iCs/>
          <w:i/>
        </w:rPr>
        <w:t xml:space="preserve">semantic meaning</w:t>
      </w:r>
      <w:r>
        <w:t xml:space="preserve"> </w:t>
      </w:r>
      <w:r>
        <w:t xml:space="preserve">layers.</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Musical notation is a</w:t>
      </w:r>
      <w:r>
        <w:t xml:space="preserve"> </w:t>
      </w:r>
      <w:r>
        <w:rPr>
          <w:bCs/>
          <w:b/>
        </w:rPr>
        <w:t xml:space="preserve">matched encoding</w:t>
      </w:r>
      <w:r>
        <w:t xml:space="preserve">: it encodes what the original scribes assumed readers would already know. Early neumes assumed readers were already familiar with the melodies (neumes served as memory aids, not as complete instructions). Greek notation assumed knowledge of tuning systems and performance conventions.</w:t>
      </w:r>
    </w:p>
    <w:p>
      <w:pPr>
        <w:pStyle w:val="BodyText"/>
      </w:pPr>
      <w:r>
        <w:t xml:space="preserve">When the assumed reader disappeared—when no one alive remembered the melodies or conventions—the notation became under-specified. Recovery required reconstructing the missing contextual knowledge through comparative analysis, later traditions, and theoretical inference.</w:t>
      </w:r>
    </w:p>
    <w:p>
      <w:pPr>
        <w:pStyle w:val="BodyText"/>
      </w:pPr>
      <w:r>
        <w:rPr>
          <w:bCs/>
          <w:b/>
        </w:rPr>
        <w:t xml:space="preserve">CIF implication:</w:t>
      </w:r>
      <w:r>
        <w:t xml:space="preserve"> </w:t>
      </w:r>
      <w:r>
        <w:t xml:space="preserve">Encodings optimized for insiders (minimal notation assuming shared knowledge) are vulnerable to catastrophic information loss when the insider community vanishes.</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Medieval chant manuscripts show regional variants—melodic differences between monasteries, liturgical traditions, and scribal schools. Modern scholars treat this variance as</w:t>
      </w:r>
      <w:r>
        <w:t xml:space="preserve"> </w:t>
      </w:r>
      <w:r>
        <w:rPr>
          <w:bCs/>
          <w:b/>
        </w:rPr>
        <w:t xml:space="preserve">recoverable signal</w:t>
      </w:r>
      <w:r>
        <w:t xml:space="preserve">, not noise: comparing variants helps reconstruct earlier forms and identify later interpolations.</w:t>
      </w:r>
    </w:p>
    <w:p>
      <w:pPr>
        <w:pStyle w:val="BodyText"/>
      </w:pPr>
      <w:r>
        <w:t xml:space="preserve">Similarly, Greek theoretical texts contain inconsistencies and contradictions. Rather than discarding them, scholars use the contradictions to map the diversity of ancient practice—different schools, different regions, different historical periods.</w:t>
      </w:r>
    </w:p>
    <w:p>
      <w:pPr>
        <w:pStyle w:val="BodyText"/>
      </w:pPr>
      <w:r>
        <w:rPr>
          <w:bCs/>
          <w:b/>
        </w:rPr>
        <w:t xml:space="preserve">CIF implication:</w:t>
      </w:r>
      <w:r>
        <w:t xml:space="preserve"> </w:t>
      </w:r>
      <w:r>
        <w:t xml:space="preserve">Variance across copies can preserve information about evolution, context, and original diversity.</w:t>
      </w:r>
    </w:p>
    <w:bookmarkEnd w:id="33"/>
    <w:bookmarkStart w:id="34" w:name="X5690d3deb46e611b375678fe212a5a3b8d49951"/>
    <w:p>
      <w:pPr>
        <w:pStyle w:val="Heading3"/>
      </w:pPr>
      <w:r>
        <w:t xml:space="preserve">Axiom 4 — Coherence Is the Condition of Stable Operation</w:t>
      </w:r>
    </w:p>
    <w:p>
      <w:pPr>
        <w:pStyle w:val="FirstParagraph"/>
      </w:pPr>
      <w:r>
        <w:t xml:space="preserve">Musical systems maintained coherence through:</w:t>
      </w:r>
    </w:p>
    <w:p>
      <w:pPr>
        <w:numPr>
          <w:ilvl w:val="0"/>
          <w:numId w:val="1009"/>
        </w:numPr>
        <w:pStyle w:val="Compact"/>
      </w:pPr>
      <w:r>
        <w:rPr>
          <w:bCs/>
          <w:b/>
        </w:rPr>
        <w:t xml:space="preserve">Notational standardization:</w:t>
      </w:r>
      <w:r>
        <w:t xml:space="preserve"> </w:t>
      </w:r>
      <w:r>
        <w:t xml:space="preserve">The development of staff notation (11th century) and mensural notation (13th century) created stable, transmissible systems.</w:t>
      </w:r>
    </w:p>
    <w:p>
      <w:pPr>
        <w:numPr>
          <w:ilvl w:val="0"/>
          <w:numId w:val="1009"/>
        </w:numPr>
        <w:pStyle w:val="Compact"/>
      </w:pPr>
      <w:r>
        <w:rPr>
          <w:bCs/>
          <w:b/>
        </w:rPr>
        <w:t xml:space="preserve">Theoretical codification:</w:t>
      </w:r>
      <w:r>
        <w:t xml:space="preserve"> </w:t>
      </w:r>
      <w:r>
        <w:t xml:space="preserve">Treatises (Guido d’Arezzo, Franco of Cologne) formalized rules.</w:t>
      </w:r>
    </w:p>
    <w:p>
      <w:pPr>
        <w:numPr>
          <w:ilvl w:val="0"/>
          <w:numId w:val="1009"/>
        </w:numPr>
        <w:pStyle w:val="Compact"/>
      </w:pPr>
      <w:r>
        <w:rPr>
          <w:bCs/>
          <w:b/>
        </w:rPr>
        <w:t xml:space="preserve">Institutional continuity:</w:t>
      </w:r>
      <w:r>
        <w:t xml:space="preserve"> </w:t>
      </w:r>
      <w:r>
        <w:t xml:space="preserve">Monasteries, cathedrals, and courts maintained performance traditions across generations.</w:t>
      </w:r>
    </w:p>
    <w:p>
      <w:pPr>
        <w:pStyle w:val="FirstParagraph"/>
      </w:pPr>
      <w:r>
        <w:t xml:space="preserve">When institutions collapsed or reformed (e.g., Protestant Reformation ending certain Catholic chant traditions), coherence was lost. Notation alone could not maintain coherence without the living practice to interpret it.</w:t>
      </w:r>
    </w:p>
    <w:p>
      <w:pPr>
        <w:pStyle w:val="BodyText"/>
      </w:pPr>
      <w:r>
        <w:rPr>
          <w:bCs/>
          <w:b/>
        </w:rPr>
        <w:t xml:space="preserve">CIF implication:</w:t>
      </w:r>
      <w:r>
        <w:t xml:space="preserve"> </w:t>
      </w:r>
      <w:r>
        <w:t xml:space="preserve">Coherence requires both encoded rules (notation, theory) and active communities of practice. Either alone is insufficient.</w:t>
      </w:r>
    </w:p>
    <w:bookmarkEnd w:id="34"/>
    <w:bookmarkStart w:id="35" w:name="axiom-5-safe-operation-must-be-bounded"/>
    <w:p>
      <w:pPr>
        <w:pStyle w:val="Heading3"/>
      </w:pPr>
      <w:r>
        <w:t xml:space="preserve">Axiom 5 — Safe Operation Must Be Bounded</w:t>
      </w:r>
    </w:p>
    <w:p>
      <w:pPr>
        <w:pStyle w:val="FirstParagraph"/>
      </w:pPr>
      <w:r>
        <w:t xml:space="preserve">This axiom has limited direct application to musical recovery. However, one boundary-relevant observation:</w:t>
      </w:r>
    </w:p>
    <w:p>
      <w:pPr>
        <w:pStyle w:val="BodyText"/>
      </w:pPr>
      <w:r>
        <w:t xml:space="preserve">Medieval and Renaissance music was often context-specific (liturgical, courtly, theatrical). Performance outside these boundaries could be inappropriate or heretical. Modern reconstructions strip this boundary knowledge—concerts perform sacred music in secular spaces, audiences applaud (something liturgical music never expected).</w:t>
      </w:r>
    </w:p>
    <w:p>
      <w:pPr>
        <w:pStyle w:val="BodyText"/>
      </w:pPr>
      <w:r>
        <w:rPr>
          <w:bCs/>
          <w:b/>
        </w:rPr>
        <w:t xml:space="preserve">CIF implication:</w:t>
      </w:r>
      <w:r>
        <w:t xml:space="preserve"> </w:t>
      </w:r>
      <w:r>
        <w:t xml:space="preserve">Recovering the</w:t>
      </w:r>
      <w:r>
        <w:t xml:space="preserve"> </w:t>
      </w:r>
      <w:r>
        <w:rPr>
          <w:iCs/>
          <w:i/>
        </w:rPr>
        <w:t xml:space="preserve">function</w:t>
      </w:r>
      <w:r>
        <w:t xml:space="preserve"> </w:t>
      </w:r>
      <w:r>
        <w:t xml:space="preserve">and</w:t>
      </w:r>
      <w:r>
        <w:t xml:space="preserve"> </w:t>
      </w:r>
      <w:r>
        <w:rPr>
          <w:iCs/>
          <w:i/>
        </w:rPr>
        <w:t xml:space="preserve">social boundaries</w:t>
      </w:r>
      <w:r>
        <w:t xml:space="preserve"> </w:t>
      </w:r>
      <w:r>
        <w:t xml:space="preserve">of a practice is harder than recovering its</w:t>
      </w:r>
      <w:r>
        <w:t xml:space="preserve"> </w:t>
      </w:r>
      <w:r>
        <w:rPr>
          <w:iCs/>
          <w:i/>
        </w:rPr>
        <w:t xml:space="preserve">technical execution</w:t>
      </w:r>
      <w:r>
        <w:t xml:space="preserve">.</w:t>
      </w:r>
    </w:p>
    <w:bookmarkEnd w:id="35"/>
    <w:bookmarkStart w:id="36" w:name="axiom-6-trunks-generate-forests"/>
    <w:p>
      <w:pPr>
        <w:pStyle w:val="Heading3"/>
      </w:pPr>
      <w:r>
        <w:t xml:space="preserve">Axiom 6 — Trunks Generate Forests</w:t>
      </w:r>
    </w:p>
    <w:p>
      <w:pPr>
        <w:pStyle w:val="FirstParagraph"/>
      </w:pPr>
      <w:r>
        <w:t xml:space="preserve">The development of musical notation was a</w:t>
      </w:r>
      <w:r>
        <w:t xml:space="preserve"> </w:t>
      </w:r>
      <w:r>
        <w:rPr>
          <w:bCs/>
          <w:b/>
        </w:rPr>
        <w:t xml:space="preserve">generative trunk</w:t>
      </w:r>
      <w:r>
        <w:t xml:space="preserve">:</w:t>
      </w:r>
    </w:p>
    <w:p>
      <w:pPr>
        <w:numPr>
          <w:ilvl w:val="0"/>
          <w:numId w:val="1010"/>
        </w:numPr>
        <w:pStyle w:val="Compact"/>
      </w:pPr>
      <w:r>
        <w:t xml:space="preserve">Staff notation enabled the preservation and transmission of thousands of compositions.</w:t>
      </w:r>
    </w:p>
    <w:p>
      <w:pPr>
        <w:numPr>
          <w:ilvl w:val="0"/>
          <w:numId w:val="1010"/>
        </w:numPr>
        <w:pStyle w:val="Compact"/>
      </w:pPr>
      <w:r>
        <w:t xml:space="preserve">The recovery methods developed for medieval chant (comparative manuscript analysis, liturgical context reconstruction) have been applied to other musical traditions and to non-musical historical texts.</w:t>
      </w:r>
    </w:p>
    <w:p>
      <w:pPr>
        <w:numPr>
          <w:ilvl w:val="0"/>
          <w:numId w:val="1010"/>
        </w:numPr>
        <w:pStyle w:val="Compact"/>
      </w:pPr>
      <w:r>
        <w:t xml:space="preserve">Modern paleography and philology owe significant methodological debt to music scholarship.</w:t>
      </w:r>
    </w:p>
    <w:p>
      <w:pPr>
        <w:pStyle w:val="FirstParagraph"/>
      </w:pPr>
      <w:r>
        <w:rPr>
          <w:bCs/>
          <w:b/>
        </w:rPr>
        <w:t xml:space="preserve">CIF implication:</w:t>
      </w:r>
      <w:r>
        <w:t xml:space="preserve"> </w:t>
      </w:r>
      <w:r>
        <w:t xml:space="preserve">A well-designed encoding system (notation) can preserve a forest of content, even across discontinuity, if enough context survives to interpret it.</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SURVIVED (with degradation).</w:t>
      </w:r>
    </w:p>
    <w:p>
      <w:pPr>
        <w:pStyle w:val="BodyText"/>
      </w:pPr>
      <w:r>
        <w:t xml:space="preserve">Parchment manuscripts, papyrus fragments, and stone inscriptions survived, though many were damaged, incomplete, or dispersed. Medieval manuscripts were reused (palimpsests), cut into bookbinding scrap, or lost in fires.</w:t>
      </w:r>
    </w:p>
    <w:p>
      <w:pPr>
        <w:pStyle w:val="BodyText"/>
      </w:pPr>
      <w:r>
        <w:rPr>
          <w:bCs/>
          <w:b/>
        </w:rPr>
        <w:t xml:space="preserve">CIF observation:</w:t>
      </w:r>
      <w:r>
        <w:t xml:space="preserve"> </w:t>
      </w:r>
      <w:r>
        <w:t xml:space="preserve">Physical survival was necessary but insufficient. Thousands of manuscripts sat unperformed for centuries because no one knew how to interpret them.</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(with ambiguity).</w:t>
      </w:r>
    </w:p>
    <w:p>
      <w:pPr>
        <w:pStyle w:val="BodyText"/>
      </w:pPr>
      <w:r>
        <w:t xml:space="preserve">Notation preserved pitch relationships, rhythmic structures, and textual underlay. However:</w:t>
      </w:r>
    </w:p>
    <w:p>
      <w:pPr>
        <w:numPr>
          <w:ilvl w:val="0"/>
          <w:numId w:val="1011"/>
        </w:numPr>
        <w:pStyle w:val="Compact"/>
      </w:pPr>
      <w:r>
        <w:t xml:space="preserve">Early neumes encoded melodic contour but not precise intervals.</w:t>
      </w:r>
    </w:p>
    <w:p>
      <w:pPr>
        <w:numPr>
          <w:ilvl w:val="0"/>
          <w:numId w:val="1011"/>
        </w:numPr>
        <w:pStyle w:val="Compact"/>
      </w:pPr>
      <w:r>
        <w:t xml:space="preserve">Greek notation used symbols whose meanings were inferred from theoretical texts.</w:t>
      </w:r>
    </w:p>
    <w:p>
      <w:pPr>
        <w:numPr>
          <w:ilvl w:val="0"/>
          <w:numId w:val="1011"/>
        </w:numPr>
        <w:pStyle w:val="Compact"/>
      </w:pPr>
      <w:r>
        <w:t xml:space="preserve">Mensural notation encoded rhythm, but tempo and expressive timing were not specified.</w:t>
      </w:r>
    </w:p>
    <w:p>
      <w:pPr>
        <w:pStyle w:val="FirstParagraph"/>
      </w:pPr>
      <w:r>
        <w:rPr>
          <w:bCs/>
          <w:b/>
        </w:rPr>
        <w:t xml:space="preserve">CIF observation:</w:t>
      </w:r>
      <w:r>
        <w:t xml:space="preserve"> </w:t>
      </w:r>
      <w:r>
        <w:t xml:space="preserve">Data survived but was under-specified—notation recorded what scribes assumed readers would already know, leaving critical information implicit.</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PARTIALLY LOST, PARTIALLY RECONSTRUCTED.</w:t>
      </w:r>
    </w:p>
    <w:p>
      <w:pPr>
        <w:pStyle w:val="BodyText"/>
      </w:pPr>
      <w:r>
        <w:t xml:space="preserve">“</w:t>
      </w:r>
      <w:r>
        <w:t xml:space="preserve">Method</w:t>
      </w:r>
      <w:r>
        <w:t xml:space="preserve">”</w:t>
      </w:r>
      <w:r>
        <w:t xml:space="preserve"> </w:t>
      </w:r>
      <w:r>
        <w:t xml:space="preserve">here means performance practice: how to tune instruments, articulate phrases, ornament melodies, balance voices, choose tempos, and interpret expressive intent.</w:t>
      </w:r>
    </w:p>
    <w:p>
      <w:pPr>
        <w:pStyle w:val="BodyText"/>
      </w:pPr>
      <w:r>
        <w:t xml:space="preserve">This layer was transmitted orally and by demonstration. When the living tradition broke:</w:t>
      </w:r>
    </w:p>
    <w:p>
      <w:pPr>
        <w:numPr>
          <w:ilvl w:val="0"/>
          <w:numId w:val="1012"/>
        </w:numPr>
        <w:pStyle w:val="Compact"/>
      </w:pPr>
      <w:r>
        <w:rPr>
          <w:bCs/>
          <w:b/>
        </w:rPr>
        <w:t xml:space="preserve">Partially recoverable:</w:t>
      </w:r>
      <w:r>
        <w:t xml:space="preserve"> </w:t>
      </w:r>
      <w:r>
        <w:t xml:space="preserve">Tuning systems (from treatises and instrument archaeology), ensemble size (from manuscript provenance and performance space acoustics), basic articulation (from text declamation and linguistic stress).</w:t>
      </w:r>
    </w:p>
    <w:p>
      <w:pPr>
        <w:numPr>
          <w:ilvl w:val="0"/>
          <w:numId w:val="1012"/>
        </w:numPr>
        <w:pStyle w:val="Compact"/>
      </w:pPr>
      <w:r>
        <w:rPr>
          <w:bCs/>
          <w:b/>
        </w:rPr>
        <w:t xml:space="preserve">Speculative reconstruction:</w:t>
      </w:r>
      <w:r>
        <w:t xml:space="preserve"> </w:t>
      </w:r>
      <w:r>
        <w:t xml:space="preserve">Exact tempo, vibrato, ornamentation density, emotional intensity.</w:t>
      </w:r>
    </w:p>
    <w:p>
      <w:pPr>
        <w:pStyle w:val="FirstParagraph"/>
      </w:pPr>
      <w:r>
        <w:rPr>
          <w:bCs/>
          <w:b/>
        </w:rPr>
        <w:t xml:space="preserve">CIF observation:</w:t>
      </w:r>
      <w:r>
        <w:t xml:space="preserve"> </w:t>
      </w:r>
      <w:r>
        <w:t xml:space="preserve">Method transmitted orally is vulnerable to total loss. Partial recovery is possible via inference from theory, architecture, and later traditions—but gaps remain.</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PARTIALLY RECOVERABLE.</w:t>
      </w:r>
    </w:p>
    <w:p>
      <w:pPr>
        <w:pStyle w:val="BodyText"/>
      </w:pPr>
      <w:r>
        <w:t xml:space="preserve">Liturgical music’s intent (worship, textual proclamation) is clear from context. Ancient Greek music’s intent (ethical education, emotional catharsis, symposium entertainment) is documented in theoretical writings.</w:t>
      </w:r>
    </w:p>
    <w:p>
      <w:pPr>
        <w:pStyle w:val="BodyText"/>
      </w:pPr>
      <w:r>
        <w:t xml:space="preserve">However, subtler intents—whether a composer intended a passage to sound joyful, mournful, austere, or ecstatic—are often unknowable.</w:t>
      </w:r>
    </w:p>
    <w:p>
      <w:pPr>
        <w:pStyle w:val="BodyText"/>
      </w:pPr>
      <w:r>
        <w:rPr>
          <w:bCs/>
          <w:b/>
        </w:rPr>
        <w:t xml:space="preserve">CIF observation:</w:t>
      </w:r>
      <w:r>
        <w:t xml:space="preserve"> </w:t>
      </w:r>
      <w:r>
        <w:t xml:space="preserve">Functional intent (what the music was</w:t>
      </w:r>
      <w:r>
        <w:t xml:space="preserve"> </w:t>
      </w:r>
      <w:r>
        <w:rPr>
          <w:iCs/>
          <w:i/>
        </w:rPr>
        <w:t xml:space="preserve">for</w:t>
      </w:r>
      <w:r>
        <w:t xml:space="preserve">) is often recoverable; expressive intent (what it was meant to</w:t>
      </w:r>
      <w:r>
        <w:t xml:space="preserve"> </w:t>
      </w:r>
      <w:r>
        <w:rPr>
          <w:iCs/>
          <w:i/>
        </w:rPr>
        <w:t xml:space="preserve">feel like</w:t>
      </w:r>
      <w:r>
        <w:t xml:space="preserve">) is harder to reconstruct.</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BROKEN, THEN BRIDGED (not restored).</w:t>
      </w:r>
    </w:p>
    <w:p>
      <w:pPr>
        <w:pStyle w:val="BodyText"/>
      </w:pPr>
      <w:r>
        <w:t xml:space="preserve">“</w:t>
      </w:r>
      <w:r>
        <w:t xml:space="preserve">Semantic continuity</w:t>
      </w:r>
      <w:r>
        <w:t xml:space="preserve">”</w:t>
      </w:r>
      <w:r>
        <w:t xml:space="preserve"> </w:t>
      </w:r>
      <w:r>
        <w:t xml:space="preserve">in music means: can a modern listener hear what an ancient listener heard? Almost certainly not. Cultural context, acoustic environment, listening expectations, and spiritual framework shaped how music was understood.</w:t>
      </w:r>
    </w:p>
    <w:p>
      <w:pPr>
        <w:pStyle w:val="BodyText"/>
      </w:pPr>
      <w:r>
        <w:t xml:space="preserve">Modern performances reconstruct the</w:t>
      </w:r>
      <w:r>
        <w:t xml:space="preserve"> </w:t>
      </w:r>
      <w:r>
        <w:rPr>
          <w:iCs/>
          <w:i/>
        </w:rPr>
        <w:t xml:space="preserve">sonic surface</w:t>
      </w:r>
      <w:r>
        <w:t xml:space="preserve">—pitch, rhythm, timbre—but not the</w:t>
      </w:r>
      <w:r>
        <w:t xml:space="preserve"> </w:t>
      </w:r>
      <w:r>
        <w:rPr>
          <w:iCs/>
          <w:i/>
        </w:rPr>
        <w:t xml:space="preserve">meaning</w:t>
      </w:r>
      <w:r>
        <w:t xml:space="preserve">. A medieval monk hearing chant in a candlelit chapel during Vespers experienced something qualitatively different from a modern concertgoer in an auditorium.</w:t>
      </w:r>
    </w:p>
    <w:p>
      <w:pPr>
        <w:pStyle w:val="BodyText"/>
      </w:pPr>
      <w:r>
        <w:rPr>
          <w:bCs/>
          <w:b/>
        </w:rPr>
        <w:t xml:space="preserve">CIF observation:</w:t>
      </w:r>
      <w:r>
        <w:t xml:space="preserve"> </w:t>
      </w:r>
      <w:r>
        <w:t xml:space="preserve">Recovery can restore technical execution but not phenomenological experience. The recovered performance is historically informed but culturally displaced.</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Survived (partial)</w:t>
            </w:r>
          </w:p>
        </w:tc>
        <w:tc>
          <w:tcPr/>
          <w:p>
            <w:pPr>
              <w:pStyle w:val="Compact"/>
              <w:jc w:val="left"/>
            </w:pPr>
            <w:r>
              <w:t xml:space="preserve">Moderate</w:t>
            </w:r>
          </w:p>
        </w:tc>
        <w:tc>
          <w:tcPr/>
          <w:p>
            <w:pPr>
              <w:pStyle w:val="Compact"/>
              <w:jc w:val="left"/>
            </w:pPr>
            <w:r>
              <w:t xml:space="preserve">Manuscripts degraded; many lost.</w:t>
            </w:r>
          </w:p>
        </w:tc>
      </w:tr>
      <w:tr>
        <w:tc>
          <w:tcPr/>
          <w:p>
            <w:pPr>
              <w:pStyle w:val="Compact"/>
              <w:jc w:val="left"/>
            </w:pPr>
            <w:r>
              <w:rPr>
                <w:bCs/>
                <w:b/>
              </w:rPr>
              <w:t xml:space="preserve">Data</w:t>
            </w:r>
          </w:p>
        </w:tc>
        <w:tc>
          <w:tcPr/>
          <w:p>
            <w:pPr>
              <w:pStyle w:val="Compact"/>
              <w:jc w:val="left"/>
            </w:pPr>
            <w:r>
              <w:t xml:space="preserve">Survived (with ambiguity)</w:t>
            </w:r>
          </w:p>
        </w:tc>
        <w:tc>
          <w:tcPr/>
          <w:p>
            <w:pPr>
              <w:pStyle w:val="Compact"/>
              <w:jc w:val="left"/>
            </w:pPr>
            <w:r>
              <w:t xml:space="preserve">Moderate to High</w:t>
            </w:r>
          </w:p>
        </w:tc>
        <w:tc>
          <w:tcPr/>
          <w:p>
            <w:pPr>
              <w:pStyle w:val="Compact"/>
              <w:jc w:val="left"/>
            </w:pPr>
            <w:r>
              <w:t xml:space="preserve">Notation preserved pitch/rhythm but left tempo, ornamentation, timbre implicit.</w:t>
            </w:r>
          </w:p>
        </w:tc>
      </w:tr>
      <w:tr>
        <w:tc>
          <w:tcPr/>
          <w:p>
            <w:pPr>
              <w:pStyle w:val="Compact"/>
              <w:jc w:val="left"/>
            </w:pPr>
            <w:r>
              <w:rPr>
                <w:bCs/>
                <w:b/>
              </w:rPr>
              <w:t xml:space="preserve">Method</w:t>
            </w:r>
          </w:p>
        </w:tc>
        <w:tc>
          <w:tcPr/>
          <w:p>
            <w:pPr>
              <w:pStyle w:val="Compact"/>
              <w:jc w:val="left"/>
            </w:pPr>
            <w:r>
              <w:t xml:space="preserve">Partially lost, partially reconstructed</w:t>
            </w:r>
          </w:p>
        </w:tc>
        <w:tc>
          <w:tcPr/>
          <w:p>
            <w:pPr>
              <w:pStyle w:val="Compact"/>
              <w:jc w:val="left"/>
            </w:pPr>
            <w:r>
              <w:t xml:space="preserve">Low to Moderate</w:t>
            </w:r>
          </w:p>
        </w:tc>
        <w:tc>
          <w:tcPr/>
          <w:p>
            <w:pPr>
              <w:pStyle w:val="Compact"/>
              <w:jc w:val="left"/>
            </w:pPr>
            <w:r>
              <w:t xml:space="preserve">Performance practice inferred from theory, later traditions, architecture; gaps remain.</w:t>
            </w:r>
          </w:p>
        </w:tc>
      </w:tr>
      <w:tr>
        <w:tc>
          <w:tcPr/>
          <w:p>
            <w:pPr>
              <w:pStyle w:val="Compact"/>
              <w:jc w:val="left"/>
            </w:pPr>
            <w:r>
              <w:rPr>
                <w:bCs/>
                <w:b/>
              </w:rPr>
              <w:t xml:space="preserve">Intent</w:t>
            </w:r>
          </w:p>
        </w:tc>
        <w:tc>
          <w:tcPr/>
          <w:p>
            <w:pPr>
              <w:pStyle w:val="Compact"/>
              <w:jc w:val="left"/>
            </w:pPr>
            <w:r>
              <w:t xml:space="preserve">Partially recoverable</w:t>
            </w:r>
          </w:p>
        </w:tc>
        <w:tc>
          <w:tcPr/>
          <w:p>
            <w:pPr>
              <w:pStyle w:val="Compact"/>
              <w:jc w:val="left"/>
            </w:pPr>
            <w:r>
              <w:t xml:space="preserve">Moderate</w:t>
            </w:r>
          </w:p>
        </w:tc>
        <w:tc>
          <w:tcPr/>
          <w:p>
            <w:pPr>
              <w:pStyle w:val="Compact"/>
              <w:jc w:val="left"/>
            </w:pPr>
            <w:r>
              <w:t xml:space="preserve">Functional intent clear; expressive intent speculative.</w:t>
            </w:r>
          </w:p>
        </w:tc>
      </w:tr>
      <w:tr>
        <w:tc>
          <w:tcPr/>
          <w:p>
            <w:pPr>
              <w:pStyle w:val="Compact"/>
              <w:jc w:val="left"/>
            </w:pPr>
            <w:r>
              <w:rPr>
                <w:bCs/>
                <w:b/>
              </w:rPr>
              <w:t xml:space="preserve">Semantic Continuity</w:t>
            </w:r>
          </w:p>
        </w:tc>
        <w:tc>
          <w:tcPr/>
          <w:p>
            <w:pPr>
              <w:pStyle w:val="Compact"/>
              <w:jc w:val="left"/>
            </w:pPr>
            <w:r>
              <w:t xml:space="preserve">Broken, then bridged</w:t>
            </w:r>
          </w:p>
        </w:tc>
        <w:tc>
          <w:tcPr/>
          <w:p>
            <w:pPr>
              <w:pStyle w:val="Compact"/>
              <w:jc w:val="left"/>
            </w:pPr>
            <w:r>
              <w:t xml:space="preserve">Low</w:t>
            </w:r>
          </w:p>
        </w:tc>
        <w:tc>
          <w:tcPr/>
          <w:p>
            <w:pPr>
              <w:pStyle w:val="Compact"/>
              <w:jc w:val="left"/>
            </w:pPr>
            <w:r>
              <w:t xml:space="preserve">Technical execution recoverable; cultural meaning and phenomenological experience lost.</w:t>
            </w:r>
          </w:p>
        </w:tc>
      </w:tr>
    </w:tbl>
    <w:p>
      <w:pPr>
        <w:pStyle w:val="BodyText"/>
      </w:pPr>
      <w:r>
        <w:rPr>
          <w:bCs/>
          <w:b/>
        </w:rPr>
        <w:t xml:space="preserve">Overall fidelity:</w:t>
      </w:r>
      <w:r>
        <w:t xml:space="preserve"> </w:t>
      </w:r>
      <w:r>
        <w:t xml:space="preserve">MODERATE. Notation enabled recovery of pitch and rhythm (data layer). Performance practice (method layer) is partially reconstructed. Cultural meaning (semantic layer) is largely irrecoverable.</w:t>
      </w:r>
    </w:p>
    <w:p>
      <w:r>
        <w:pict>
          <v:rect style="width:0;height:1.5pt" o:hralign="center" o:hrstd="t" o:hr="t"/>
        </w:pict>
      </w:r>
    </w:p>
    <w:bookmarkEnd w:id="44"/>
    <w:bookmarkStart w:id="48" w:name="implications-for-the-present"/>
    <w:p>
      <w:pPr>
        <w:pStyle w:val="Heading2"/>
      </w:pPr>
      <w:r>
        <w:t xml:space="preserve">7. Implications for the Present</w:t>
      </w:r>
    </w:p>
    <w:bookmarkStart w:id="45" w:name="Xc2b3caf88e4e2ea8620d120ea118eb3f408a6fb"/>
    <w:p>
      <w:pPr>
        <w:pStyle w:val="Heading3"/>
      </w:pPr>
      <w:r>
        <w:t xml:space="preserve">Modern Parallel: Software Without Documentation</w:t>
      </w:r>
    </w:p>
    <w:p>
      <w:pPr>
        <w:pStyle w:val="FirstParagraph"/>
      </w:pPr>
      <w:r>
        <w:t xml:space="preserve">Musical notation without living performance practice is analogous to source code without comments, documentation, or living developers who remember why design decisions were made:</w:t>
      </w:r>
    </w:p>
    <w:p>
      <w:pPr>
        <w:numPr>
          <w:ilvl w:val="0"/>
          <w:numId w:val="1013"/>
        </w:numPr>
        <w:pStyle w:val="Compact"/>
      </w:pPr>
      <w:r>
        <w:t xml:space="preserve">The code</w:t>
      </w:r>
      <w:r>
        <w:t xml:space="preserve"> </w:t>
      </w:r>
      <w:r>
        <w:rPr>
          <w:iCs/>
          <w:i/>
        </w:rPr>
        <w:t xml:space="preserve">runs</w:t>
      </w:r>
      <w:r>
        <w:t xml:space="preserve"> </w:t>
      </w:r>
      <w:r>
        <w:t xml:space="preserve">(data layer intact).</w:t>
      </w:r>
    </w:p>
    <w:p>
      <w:pPr>
        <w:numPr>
          <w:ilvl w:val="0"/>
          <w:numId w:val="1013"/>
        </w:numPr>
        <w:pStyle w:val="Compact"/>
      </w:pPr>
      <w:r>
        <w:t xml:space="preserve">The</w:t>
      </w:r>
      <w:r>
        <w:t xml:space="preserve"> </w:t>
      </w:r>
      <w:r>
        <w:rPr>
          <w:iCs/>
          <w:i/>
        </w:rPr>
        <w:t xml:space="preserve">logic</w:t>
      </w:r>
      <w:r>
        <w:t xml:space="preserve"> </w:t>
      </w:r>
      <w:r>
        <w:t xml:space="preserve">is partially decipherable (method layer partially recoverable).</w:t>
      </w:r>
    </w:p>
    <w:p>
      <w:pPr>
        <w:numPr>
          <w:ilvl w:val="0"/>
          <w:numId w:val="1013"/>
        </w:numPr>
        <w:pStyle w:val="Compact"/>
      </w:pPr>
      <w:r>
        <w:t xml:space="preserve">The</w:t>
      </w:r>
      <w:r>
        <w:t xml:space="preserve"> </w:t>
      </w:r>
      <w:r>
        <w:rPr>
          <w:iCs/>
          <w:i/>
        </w:rPr>
        <w:t xml:space="preserve">intent</w:t>
      </w:r>
      <w:r>
        <w:t xml:space="preserve"> </w:t>
      </w:r>
      <w:r>
        <w:t xml:space="preserve">behind design choices is lost (semantic layer severed).</w:t>
      </w:r>
    </w:p>
    <w:p>
      <w:pPr>
        <w:pStyle w:val="FirstParagraph"/>
      </w:pPr>
      <w:r>
        <w:t xml:space="preserve">Modern software archaeology—reverse-engineering legacy systems—faces identical CIF challenges: the artifact survived, but the knowledge of how to maintain, extend, or properly operate it did not.</w:t>
      </w:r>
    </w:p>
    <w:bookmarkEnd w:id="45"/>
    <w:bookmarkStart w:id="46" w:name="the-oral-transmission-bottleneck"/>
    <w:p>
      <w:pPr>
        <w:pStyle w:val="Heading3"/>
      </w:pPr>
      <w:r>
        <w:t xml:space="preserve">The Oral-Transmission Bottleneck</w:t>
      </w:r>
    </w:p>
    <w:p>
      <w:pPr>
        <w:pStyle w:val="FirstParagraph"/>
      </w:pPr>
      <w:r>
        <w:t xml:space="preserve">Music’s vulnerability to discontinuity was its dependence on oral transmission for critical layers. Notation recorded</w:t>
      </w:r>
      <w:r>
        <w:t xml:space="preserve"> </w:t>
      </w:r>
      <w:r>
        <w:rPr>
          <w:iCs/>
          <w:i/>
        </w:rPr>
        <w:t xml:space="preserve">what</w:t>
      </w:r>
      <w:r>
        <w:t xml:space="preserve"> </w:t>
      </w:r>
      <w:r>
        <w:t xml:space="preserve">to play but not</w:t>
      </w:r>
      <w:r>
        <w:t xml:space="preserve"> </w:t>
      </w:r>
      <w:r>
        <w:rPr>
          <w:iCs/>
          <w:i/>
        </w:rPr>
        <w:t xml:space="preserve">how</w:t>
      </w:r>
      <w:r>
        <w:t xml:space="preserve"> </w:t>
      </w:r>
      <w:r>
        <w:t xml:space="preserve">to play it. This is a fundamental CIF failure mode:</w:t>
      </w:r>
    </w:p>
    <w:p>
      <w:pPr>
        <w:numPr>
          <w:ilvl w:val="0"/>
          <w:numId w:val="1014"/>
        </w:numPr>
        <w:pStyle w:val="Compact"/>
      </w:pPr>
      <w:r>
        <w:rPr>
          <w:bCs/>
          <w:b/>
        </w:rPr>
        <w:t xml:space="preserve">Over-optimized encoding:</w:t>
      </w:r>
      <w:r>
        <w:t xml:space="preserve"> </w:t>
      </w:r>
      <w:r>
        <w:t xml:space="preserve">Notation was optimized for insiders, assuming shared knowledge. It did not anticipate that outsiders—future scholars—would need to read it.</w:t>
      </w:r>
    </w:p>
    <w:p>
      <w:pPr>
        <w:numPr>
          <w:ilvl w:val="0"/>
          <w:numId w:val="1014"/>
        </w:numPr>
        <w:pStyle w:val="Compact"/>
      </w:pPr>
      <w:r>
        <w:rPr>
          <w:bCs/>
          <w:b/>
        </w:rPr>
        <w:t xml:space="preserve">Silent knowledge:</w:t>
      </w:r>
      <w:r>
        <w:t xml:space="preserve"> </w:t>
      </w:r>
      <w:r>
        <w:t xml:space="preserve">Performance nuance was transmitted silently (by demonstration, imitation) and thus left no trace.</w:t>
      </w:r>
    </w:p>
    <w:p>
      <w:pPr>
        <w:pStyle w:val="FirstParagraph"/>
      </w:pPr>
      <w:r>
        <w:rPr>
          <w:bCs/>
          <w:b/>
        </w:rPr>
        <w:t xml:space="preserve">CIF lesson:</w:t>
      </w:r>
      <w:r>
        <w:t xml:space="preserve"> </w:t>
      </w:r>
      <w:r>
        <w:t xml:space="preserve">Systems that rely on tacit knowledge for critical layers are vulnerable to catastrophic inheritance loss when the community of practice vanishes.</w:t>
      </w:r>
    </w:p>
    <w:bookmarkEnd w:id="46"/>
    <w:bookmarkStart w:id="47" w:name="the-value-of-redundancy"/>
    <w:p>
      <w:pPr>
        <w:pStyle w:val="Heading3"/>
      </w:pPr>
      <w:r>
        <w:t xml:space="preserve">The Value of Redundancy</w:t>
      </w:r>
    </w:p>
    <w:p>
      <w:pPr>
        <w:pStyle w:val="FirstParagraph"/>
      </w:pPr>
      <w:r>
        <w:t xml:space="preserve">Where musical recovery succeeded, it was because of redundant sources:</w:t>
      </w:r>
    </w:p>
    <w:p>
      <w:pPr>
        <w:numPr>
          <w:ilvl w:val="0"/>
          <w:numId w:val="1015"/>
        </w:numPr>
        <w:pStyle w:val="Compact"/>
      </w:pPr>
      <w:r>
        <w:t xml:space="preserve">Multiple manuscripts preserved regional variants, enabling comparative reconstruction.</w:t>
      </w:r>
    </w:p>
    <w:p>
      <w:pPr>
        <w:numPr>
          <w:ilvl w:val="0"/>
          <w:numId w:val="1015"/>
        </w:numPr>
        <w:pStyle w:val="Compact"/>
      </w:pPr>
      <w:r>
        <w:t xml:space="preserve">Theoretical treatises supplemented notation with tuning and modal descriptions.</w:t>
      </w:r>
    </w:p>
    <w:p>
      <w:pPr>
        <w:numPr>
          <w:ilvl w:val="0"/>
          <w:numId w:val="1015"/>
        </w:numPr>
        <w:pStyle w:val="Compact"/>
      </w:pPr>
      <w:r>
        <w:t xml:space="preserve">Later traditions (e.g., Coptic chant, Jewish cantillation) preserved structural parallels to lost Christian chant forms.</w:t>
      </w:r>
    </w:p>
    <w:p>
      <w:pPr>
        <w:pStyle w:val="FirstParagraph"/>
      </w:pPr>
      <w:r>
        <w:rPr>
          <w:bCs/>
          <w:b/>
        </w:rPr>
        <w:t xml:space="preserve">CIF lesson:</w:t>
      </w:r>
      <w:r>
        <w:t xml:space="preserve"> </w:t>
      </w:r>
      <w:r>
        <w:t xml:space="preserve">Redundancy across formats (notation + theory + later parallel traditions) preserves recovery paths that single-source encodings cannot.</w:t>
      </w:r>
    </w:p>
    <w:p>
      <w:r>
        <w:pict>
          <v:rect style="width:0;height:1.5pt" o:hralign="center" o:hrstd="t" o:hr="t"/>
        </w:pict>
      </w:r>
    </w:p>
    <w:bookmarkEnd w:id="47"/>
    <w:bookmarkEnd w:id="48"/>
    <w:bookmarkStart w:id="49" w:name="design-requirements-lessons-derived"/>
    <w:p>
      <w:pPr>
        <w:pStyle w:val="Heading2"/>
      </w:pPr>
      <w:r>
        <w:t xml:space="preserve">8. Design Requirements / Lessons Derived</w:t>
      </w:r>
    </w:p>
    <w:p>
      <w:pPr>
        <w:numPr>
          <w:ilvl w:val="0"/>
          <w:numId w:val="1016"/>
        </w:numPr>
      </w:pPr>
      <w:r>
        <w:rPr>
          <w:bCs/>
          <w:b/>
        </w:rPr>
        <w:t xml:space="preserve">Do not assume future readers will have insider knowledge.</w:t>
      </w:r>
      <w:r>
        <w:t xml:space="preserve"> </w:t>
      </w:r>
      <w:r>
        <w:t xml:space="preserve">Notation assumed readers already knew the melodies, tuning, and style. When that assumption failed, recovery became speculative. Encode for outsiders, not just insiders.</w:t>
      </w:r>
    </w:p>
    <w:p>
      <w:pPr>
        <w:numPr>
          <w:ilvl w:val="0"/>
          <w:numId w:val="1016"/>
        </w:numPr>
      </w:pPr>
      <w:r>
        <w:rPr>
          <w:bCs/>
          <w:b/>
        </w:rPr>
        <w:t xml:space="preserve">Encode tacit knowledge explicitly.</w:t>
      </w:r>
      <w:r>
        <w:t xml:space="preserve"> </w:t>
      </w:r>
      <w:r>
        <w:t xml:space="preserve">Performance nuance (tempo, ornamentation, expressive intent) was transmitted orally and thus lost. Modern equivalents: code comments, design rationale documents, video demonstrations.</w:t>
      </w:r>
    </w:p>
    <w:p>
      <w:pPr>
        <w:numPr>
          <w:ilvl w:val="0"/>
          <w:numId w:val="1016"/>
        </w:numPr>
      </w:pPr>
      <w:r>
        <w:rPr>
          <w:bCs/>
          <w:b/>
        </w:rPr>
        <w:t xml:space="preserve">Preserve parallel traditions.</w:t>
      </w:r>
      <w:r>
        <w:t xml:space="preserve"> </w:t>
      </w:r>
      <w:r>
        <w:t xml:space="preserve">Later chant traditions (Coptic, Byzantine) helped reconstruct earlier lost forms. For modern systems: maintain</w:t>
      </w:r>
      <w:r>
        <w:t xml:space="preserve"> </w:t>
      </w:r>
      <w:r>
        <w:t xml:space="preserve">“</w:t>
      </w:r>
      <w:r>
        <w:t xml:space="preserve">living fossils</w:t>
      </w:r>
      <w:r>
        <w:t xml:space="preserve">”</w:t>
      </w:r>
      <w:r>
        <w:t xml:space="preserve">—legacy systems still in limited use—as reference points for archaeological recovery.</w:t>
      </w:r>
    </w:p>
    <w:p>
      <w:pPr>
        <w:numPr>
          <w:ilvl w:val="0"/>
          <w:numId w:val="1016"/>
        </w:numPr>
      </w:pPr>
      <w:r>
        <w:rPr>
          <w:bCs/>
          <w:b/>
        </w:rPr>
        <w:t xml:space="preserve">Accept that recovery is approximation.</w:t>
      </w:r>
      <w:r>
        <w:t xml:space="preserve"> </w:t>
      </w:r>
      <w:r>
        <w:t xml:space="preserve">No modern performance sounds exactly like the original. Recovered systems differ from lost originals. Design with the expectation that future recovery will be partial.</w:t>
      </w:r>
    </w:p>
    <w:p>
      <w:pPr>
        <w:numPr>
          <w:ilvl w:val="0"/>
          <w:numId w:val="1016"/>
        </w:numPr>
      </w:pPr>
      <w:r>
        <w:rPr>
          <w:bCs/>
          <w:b/>
        </w:rPr>
        <w:t xml:space="preserve">Redundancy enables triangulation.</w:t>
      </w:r>
      <w:r>
        <w:t xml:space="preserve"> </w:t>
      </w:r>
      <w:r>
        <w:t xml:space="preserve">Multiple manuscripts, theory texts, and instrument descriptions allowed scholars to cross-check and narrow uncertainties. Single-source data is far more vulnerable.</w:t>
      </w:r>
    </w:p>
    <w:p>
      <w:pPr>
        <w:numPr>
          <w:ilvl w:val="0"/>
          <w:numId w:val="1016"/>
        </w:numPr>
      </w:pPr>
      <w:r>
        <w:rPr>
          <w:bCs/>
          <w:b/>
        </w:rPr>
        <w:t xml:space="preserve">Cultural context is the hardest layer to recover.</w:t>
      </w:r>
      <w:r>
        <w:t xml:space="preserve"> </w:t>
      </w:r>
      <w:r>
        <w:t xml:space="preserve">Technical execution (pitch, rhythm) is recoverable; phenomenological experience and meaning are not. Design systems knowing that</w:t>
      </w:r>
      <w:r>
        <w:t xml:space="preserve"> </w:t>
      </w:r>
      <w:r>
        <w:rPr>
          <w:iCs/>
          <w:i/>
        </w:rPr>
        <w:t xml:space="preserve">why</w:t>
      </w:r>
      <w:r>
        <w:t xml:space="preserve"> </w:t>
      </w:r>
      <w:r>
        <w:t xml:space="preserve">and</w:t>
      </w:r>
      <w:r>
        <w:t xml:space="preserve"> </w:t>
      </w:r>
      <w:r>
        <w:rPr>
          <w:iCs/>
          <w:i/>
        </w:rPr>
        <w:t xml:space="preserve">what it feels like</w:t>
      </w:r>
      <w:r>
        <w:t xml:space="preserve"> </w:t>
      </w:r>
      <w:r>
        <w:t xml:space="preserve">may be permanently lost.</w:t>
      </w:r>
    </w:p>
    <w:p>
      <w:r>
        <w:pict>
          <v:rect style="width:0;height:1.5pt" o:hralign="center" o:hrstd="t" o:hr="t"/>
        </w:pict>
      </w:r>
    </w:p>
    <w:bookmarkEnd w:id="49"/>
    <w:bookmarkStart w:id="50" w:name="conclusions"/>
    <w:p>
      <w:pPr>
        <w:pStyle w:val="Heading2"/>
      </w:pPr>
      <w:r>
        <w:t xml:space="preserve">9. Conclusions</w:t>
      </w:r>
    </w:p>
    <w:p>
      <w:pPr>
        <w:numPr>
          <w:ilvl w:val="0"/>
          <w:numId w:val="1017"/>
        </w:numPr>
      </w:pPr>
      <w:r>
        <w:t xml:space="preserve">Musical notation enabled recovery of pitch and rhythmic structure (data layer) across discontinuities spanning centuries to millennia—but performance practice (method layer) and cultural meaning (semantic layer) were only partially recoverable.</w:t>
      </w:r>
    </w:p>
    <w:p>
      <w:pPr>
        <w:numPr>
          <w:ilvl w:val="0"/>
          <w:numId w:val="1017"/>
        </w:numPr>
      </w:pPr>
      <w:r>
        <w:t xml:space="preserve">Notation was an</w:t>
      </w:r>
      <w:r>
        <w:t xml:space="preserve"> </w:t>
      </w:r>
      <w:r>
        <w:rPr>
          <w:bCs/>
          <w:b/>
        </w:rPr>
        <w:t xml:space="preserve">insider encoding</w:t>
      </w:r>
      <w:r>
        <w:t xml:space="preserve">: it preserved what scribes assumed readers would already know. When the insider community vanished, critical knowledge (tempo, ornamentation, tuning, expressive intent) was lost.</w:t>
      </w:r>
    </w:p>
    <w:p>
      <w:pPr>
        <w:numPr>
          <w:ilvl w:val="0"/>
          <w:numId w:val="1017"/>
        </w:numPr>
      </w:pPr>
      <w:r>
        <w:t xml:space="preserve">Recovery depended on triangulation across redundant sources: manuscripts, theoretical treatises, instrument archaeology, later parallel traditions, and acoustic analysis of performance spaces.</w:t>
      </w:r>
    </w:p>
    <w:p>
      <w:pPr>
        <w:numPr>
          <w:ilvl w:val="0"/>
          <w:numId w:val="1017"/>
        </w:numPr>
      </w:pPr>
      <w:r>
        <w:t xml:space="preserve">Modern reconstructions are scholarly approximations, not seamless restorations. They recover technical execution but not phenomenological experience. A medieval monk’s experience of chant in a liturgical context cannot be recreated in a concert hall.</w:t>
      </w:r>
    </w:p>
    <w:p>
      <w:pPr>
        <w:numPr>
          <w:ilvl w:val="0"/>
          <w:numId w:val="1017"/>
        </w:numPr>
      </w:pPr>
      <w:r>
        <w:t xml:space="preserve">The case validates CIF’s layered model: different inheritance layers have different vulnerabilities. Physical form and data survived better than method and semantic continuity.</w:t>
      </w:r>
    </w:p>
    <w:p>
      <w:pPr>
        <w:numPr>
          <w:ilvl w:val="0"/>
          <w:numId w:val="1017"/>
        </w:numPr>
      </w:pPr>
      <w:r>
        <w:t xml:space="preserve">The oral-transmission bottleneck—reliance on tacit, body-to-body knowledge transfer—was the critical failure point. When living practice broke, the silent knowledge vanished.</w:t>
      </w:r>
    </w:p>
    <w:p>
      <w:pPr>
        <w:numPr>
          <w:ilvl w:val="0"/>
          <w:numId w:val="1017"/>
        </w:numPr>
      </w:pPr>
      <w:r>
        <w:t xml:space="preserve">For modern systems: redundancy, explicit encoding of tacit knowledge, and designing for outsider readers are essential to enable future recovery across discontinuity.</w:t>
      </w:r>
    </w:p>
    <w:p>
      <w:r>
        <w:pict>
          <v:rect style="width:0;height:1.5pt" o:hralign="center" o:hrstd="t" o:hr="t"/>
        </w:pict>
      </w:r>
    </w:p>
    <w:bookmarkEnd w:id="50"/>
    <w:bookmarkStart w:id="51" w:name="final-cif-verdict"/>
    <w:p>
      <w:pPr>
        <w:pStyle w:val="Heading2"/>
      </w:pPr>
      <w:r>
        <w:t xml:space="preserve">10. Final CIF Verdict</w:t>
      </w:r>
    </w:p>
    <w:p>
      <w:pPr>
        <w:pStyle w:val="FirstParagraph"/>
      </w:pPr>
      <w:r>
        <w:rPr>
          <w:bCs/>
          <w:b/>
        </w:rPr>
        <w:t xml:space="preserve">SUPPORTED (with refinement).</w:t>
      </w:r>
    </w:p>
    <w:p>
      <w:pPr>
        <w:pStyle w:val="BodyText"/>
      </w:pPr>
      <w:r>
        <w:t xml:space="preserve">Musical notation preserved enough inheritance across discontinuity to enable partial recovery—validating CIF’s claim that well-designed encoding systems can survive field collapse. However, the case also reveals a critical limit:</w:t>
      </w:r>
    </w:p>
    <w:p>
      <w:pPr>
        <w:pStyle w:val="BodyText"/>
      </w:pPr>
      <w:r>
        <w:rPr>
          <w:bCs/>
          <w:b/>
        </w:rPr>
        <w:t xml:space="preserve">Notation alone is not enough.</w:t>
      </w:r>
      <w:r>
        <w:t xml:space="preserve"> </w:t>
      </w:r>
      <w:r>
        <w:t xml:space="preserve">The data layer survived, but the method and semantic layers did not. Recovery was possible because redundant sources (theory texts, parallel traditions, instrument archaeology) provided enough triangulation points to reconstruct lost context.</w:t>
      </w:r>
    </w:p>
    <w:p>
      <w:pPr>
        <w:pStyle w:val="BodyText"/>
      </w:pPr>
      <w:r>
        <w:t xml:space="preserve">The CIF lesson:</w:t>
      </w:r>
      <w:r>
        <w:t xml:space="preserve"> </w:t>
      </w:r>
      <w:r>
        <w:rPr>
          <w:bCs/>
          <w:b/>
        </w:rPr>
        <w:t xml:space="preserve">layered redundancy across multiple encodings</w:t>
      </w:r>
      <w:r>
        <w:t xml:space="preserve"> </w:t>
      </w:r>
      <w:r>
        <w:t xml:space="preserve">(notation + theory + instruments + later traditions) is far more robust than single-layer encoding, even when that encoding is sophisticated.</w:t>
      </w:r>
    </w:p>
    <w:p>
      <w:pPr>
        <w:pStyle w:val="BodyText"/>
      </w:pPr>
      <w:r>
        <w:t xml:space="preserve">Musical recovery is not seamless restoration—it is informed approximation. Gaps remain. But informed approximation is vastly better than total loss, and CIF’s framework correctly predicts which layers survive and which do not.</w:t>
      </w:r>
    </w:p>
    <w:p>
      <w:r>
        <w:pict>
          <v:rect style="width:0;height:1.5pt" o:hralign="center" o:hrstd="t" o:hr="t"/>
        </w:pict>
      </w:r>
    </w:p>
    <w:bookmarkEnd w:id="51"/>
    <w:bookmarkStart w:id="55" w:name="falsification-check"/>
    <w:p>
      <w:pPr>
        <w:pStyle w:val="Heading2"/>
      </w:pPr>
      <w:r>
        <w:t xml:space="preserve">11. Falsification Check</w:t>
      </w:r>
    </w:p>
    <w:bookmarkStart w:id="52" w:name="what-finding-would-contradict-cif"/>
    <w:p>
      <w:pPr>
        <w:pStyle w:val="Heading3"/>
      </w:pPr>
      <w:r>
        <w:t xml:space="preserve">What finding would contradict CIF?</w:t>
      </w:r>
    </w:p>
    <w:p>
      <w:pPr>
        <w:pStyle w:val="FirstParagraph"/>
      </w:pPr>
      <w:r>
        <w:t xml:space="preserve">If musical notation had enabled</w:t>
      </w:r>
      <w:r>
        <w:t xml:space="preserve"> </w:t>
      </w:r>
      <w:r>
        <w:rPr>
          <w:bCs/>
          <w:b/>
        </w:rPr>
        <w:t xml:space="preserve">seamless, perfect recovery</w:t>
      </w:r>
      <w:r>
        <w:t xml:space="preserve"> </w:t>
      </w:r>
      <w:r>
        <w:t xml:space="preserve">of performance practice—such that modern reconstructions were provably identical to original performances—it would challenge CIF’s claim that method and semantic layers are more vulnerable to discontinuity than data layers.</w:t>
      </w:r>
    </w:p>
    <w:p>
      <w:pPr>
        <w:pStyle w:val="BodyText"/>
      </w:pPr>
      <w:r>
        <w:t xml:space="preserve">Alternatively, if notation had been</w:t>
      </w:r>
      <w:r>
        <w:t xml:space="preserve"> </w:t>
      </w:r>
      <w:r>
        <w:rPr>
          <w:bCs/>
          <w:b/>
        </w:rPr>
        <w:t xml:space="preserve">completely useless</w:t>
      </w:r>
      <w:r>
        <w:t xml:space="preserve"> </w:t>
      </w:r>
      <w:r>
        <w:t xml:space="preserve">for recovery—if scholars could not reconstruct even basic pitch and rhythm from surviving manuscripts—it would contradict CIF’s claim that well-designed encoding systems preserve recoverable inheritance.</w:t>
      </w:r>
    </w:p>
    <w:bookmarkEnd w:id="52"/>
    <w:bookmarkStart w:id="54" w:name="does-the-evidence-approach-this"/>
    <w:p>
      <w:pPr>
        <w:pStyle w:val="Heading3"/>
      </w:pPr>
      <w:r>
        <w:t xml:space="preserve">Does the evidence approach this?</w:t>
      </w:r>
    </w:p>
    <w:p>
      <w:pPr>
        <w:pStyle w:val="FirstParagraph"/>
      </w:pPr>
      <w:r>
        <w:rPr>
          <w:bCs/>
          <w:b/>
        </w:rPr>
        <w:t xml:space="preserve">No.</w:t>
      </w:r>
    </w:p>
    <w:p>
      <w:pPr>
        <w:numPr>
          <w:ilvl w:val="0"/>
          <w:numId w:val="1018"/>
        </w:numPr>
        <w:pStyle w:val="Compact"/>
      </w:pPr>
      <w:r>
        <w:t xml:space="preserve">Recovery is neither perfect nor useless—it is</w:t>
      </w:r>
      <w:r>
        <w:t xml:space="preserve"> </w:t>
      </w:r>
      <w:r>
        <w:rPr>
          <w:bCs/>
          <w:b/>
        </w:rPr>
        <w:t xml:space="preserve">partial and approximate</w:t>
      </w:r>
      <w:r>
        <w:t xml:space="preserve">, exactly as CIF predicts for systems where data survives but living practice does not.</w:t>
      </w:r>
    </w:p>
    <w:p>
      <w:pPr>
        <w:numPr>
          <w:ilvl w:val="0"/>
          <w:numId w:val="1018"/>
        </w:numPr>
        <w:pStyle w:val="Compact"/>
      </w:pPr>
      <w:r>
        <w:t xml:space="preserve">The gaps (tempo, ornamentation, expressive nuance) are precisely the tacit-knowledge layers that CIF predicts are vulnerable to oral-transmission discontinuity.</w:t>
      </w:r>
    </w:p>
    <w:p>
      <w:pPr>
        <w:numPr>
          <w:ilvl w:val="0"/>
          <w:numId w:val="1018"/>
        </w:numPr>
        <w:pStyle w:val="Compact"/>
      </w:pPr>
      <w:r>
        <w:t xml:space="preserve">Redundancy across sources (manuscripts, theory, instruments) enabled better recovery than notation alone—validating CIF’s emphasis on layered redundancy.</w:t>
      </w:r>
    </w:p>
    <w:p>
      <w:pPr>
        <w:pStyle w:val="FirstParagraph"/>
      </w:pPr>
      <w:r>
        <w:t xml:space="preserve">The case supports CIF’s framework and refines the design lesson: encode tacit knowledge explicitly, or accept that it will be lost.</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3">
        <w:r>
          <w:rPr>
            <w:rStyle w:val="Hyperlink"/>
            <w:bCs/>
            <w:b/>
          </w:rPr>
          <w:t xml:space="preserve">executionproof.io</w:t>
        </w:r>
      </w:hyperlink>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3"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2026-07-28T17:43:46Z</dcterms:created>
  <dcterms:modified xsi:type="dcterms:W3CDTF">2026-07-28T17:43:46Z</dcterms:modified>
</cp:coreProperties>
</file>

<file path=docProps/custom.xml><?xml version="1.0" encoding="utf-8"?>
<Properties xmlns="http://schemas.openxmlformats.org/officeDocument/2006/custom-properties" xmlns:vt="http://schemas.openxmlformats.org/officeDocument/2006/docPropsVTypes"/>
</file>