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greek-fire-sources"/>
    <w:p>
      <w:pPr>
        <w:pStyle w:val="Heading1"/>
      </w:pPr>
      <w:r>
        <w:t xml:space="preserve">Greek Fire — Sources</w:t>
      </w:r>
    </w:p>
    <w:p>
      <w:pPr>
        <w:pStyle w:val="FirstParagraph"/>
      </w:pPr>
      <w:r>
        <w:t xml:space="preserve">This document lists the primary and secondary sources cited in the case study.</w:t>
      </w:r>
    </w:p>
    <w:p>
      <w:r>
        <w:pict>
          <v:rect style="width:0;height:1.5pt" o:hralign="center" o:hrstd="t" o:hr="t"/>
        </w:pict>
      </w:r>
    </w:p>
    <w:bookmarkStart w:id="20" w:name="X25145959c30c1a08d6f5cc3a8cbaa7344a25157"/>
    <w:p>
      <w:pPr>
        <w:pStyle w:val="Heading2"/>
      </w:pPr>
      <w:r>
        <w:t xml:space="preserve">Primary Sources — Byzantine and Historical Accounts</w:t>
      </w:r>
    </w:p>
    <w:p>
      <w:pPr>
        <w:numPr>
          <w:ilvl w:val="0"/>
          <w:numId w:val="1001"/>
        </w:numPr>
        <w:pStyle w:val="Compact"/>
      </w:pPr>
      <w:r>
        <w:t xml:space="preserve">Theophanes the Confessor.</w:t>
      </w:r>
      <w:r>
        <w:t xml:space="preserve"> </w:t>
      </w:r>
      <w:r>
        <w:rPr>
          <w:iCs/>
          <w:i/>
        </w:rPr>
        <w:t xml:space="preserve">Chronographia</w:t>
      </w:r>
      <w:r>
        <w:t xml:space="preserve"> </w:t>
      </w:r>
      <w:r>
        <w:t xml:space="preserve">(c. 815 CE). Trans. Cyril Mango &amp; Roger Scott (1997).</w:t>
      </w:r>
      <w:r>
        <w:t xml:space="preserve"> </w:t>
      </w:r>
      <w:r>
        <w:rPr>
          <w:iCs/>
          <w:i/>
        </w:rPr>
        <w:t xml:space="preserve">The Chronicle of Theophanes Confessor: Byzantine and Near Eastern History, AD 284–813</w:t>
      </w:r>
      <w:r>
        <w:t xml:space="preserve">. Oxford: Clarendon Press.</w:t>
      </w:r>
    </w:p>
    <w:p>
      <w:pPr>
        <w:numPr>
          <w:ilvl w:val="1"/>
          <w:numId w:val="1002"/>
        </w:numPr>
        <w:pStyle w:val="Compact"/>
      </w:pPr>
      <w:r>
        <w:t xml:space="preserve">Earliest detailed Byzantine chronicle account of Greek Fire’s use during the 674–678 Arab siege of Constantinople.</w:t>
      </w:r>
    </w:p>
    <w:p>
      <w:pPr>
        <w:numPr>
          <w:ilvl w:val="0"/>
          <w:numId w:val="1001"/>
        </w:numPr>
        <w:pStyle w:val="Compact"/>
      </w:pPr>
      <w:r>
        <w:t xml:space="preserve">Constantine VII Porphyrogennetos.</w:t>
      </w:r>
      <w:r>
        <w:t xml:space="preserve"> </w:t>
      </w:r>
      <w:r>
        <w:rPr>
          <w:iCs/>
          <w:i/>
        </w:rPr>
        <w:t xml:space="preserve">De Administrando Imperio</w:t>
      </w:r>
      <w:r>
        <w:t xml:space="preserve"> </w:t>
      </w:r>
      <w:r>
        <w:t xml:space="preserve">(c. 950 CE). Trans. R.J.H. Jenkins (1967). Washington, DC: Dumbarton Oaks Research Library.</w:t>
      </w:r>
    </w:p>
    <w:p>
      <w:pPr>
        <w:numPr>
          <w:ilvl w:val="1"/>
          <w:numId w:val="1003"/>
        </w:numPr>
        <w:pStyle w:val="Compact"/>
      </w:pPr>
      <w:r>
        <w:t xml:space="preserve">Byzantine emperor’s manual on statecraft; includes explicit warnings against revealing the secret of Greek Fire.</w:t>
      </w:r>
    </w:p>
    <w:p>
      <w:pPr>
        <w:numPr>
          <w:ilvl w:val="0"/>
          <w:numId w:val="1001"/>
        </w:numPr>
        <w:pStyle w:val="Compact"/>
      </w:pPr>
      <w:r>
        <w:t xml:space="preserve">Liutprand of Cremona.</w:t>
      </w:r>
      <w:r>
        <w:t xml:space="preserve"> </w:t>
      </w:r>
      <w:r>
        <w:rPr>
          <w:iCs/>
          <w:i/>
        </w:rPr>
        <w:t xml:space="preserve">Antapodosis</w:t>
      </w:r>
      <w:r>
        <w:t xml:space="preserve"> </w:t>
      </w:r>
      <w:r>
        <w:t xml:space="preserve">(c. 960 CE). Trans. F.A. Wright (1930).</w:t>
      </w:r>
      <w:r>
        <w:t xml:space="preserve"> </w:t>
      </w:r>
      <w:r>
        <w:rPr>
          <w:iCs/>
          <w:i/>
        </w:rPr>
        <w:t xml:space="preserve">The Works of Liutprand of Cremona</w:t>
      </w:r>
      <w:r>
        <w:t xml:space="preserve">. London: Routledge.</w:t>
      </w:r>
    </w:p>
    <w:p>
      <w:pPr>
        <w:numPr>
          <w:ilvl w:val="1"/>
          <w:numId w:val="1004"/>
        </w:numPr>
        <w:pStyle w:val="Compact"/>
      </w:pPr>
      <w:r>
        <w:t xml:space="preserve">Western European eyewitness account of Greek Fire’s terrifying effects.</w:t>
      </w:r>
    </w:p>
    <w:p>
      <w:pPr>
        <w:numPr>
          <w:ilvl w:val="0"/>
          <w:numId w:val="1001"/>
        </w:numPr>
        <w:pStyle w:val="Compact"/>
      </w:pPr>
      <w:r>
        <w:t xml:space="preserve">Anna Comnena.</w:t>
      </w:r>
      <w:r>
        <w:t xml:space="preserve"> </w:t>
      </w:r>
      <w:r>
        <w:rPr>
          <w:iCs/>
          <w:i/>
        </w:rPr>
        <w:t xml:space="preserve">The Alexiad</w:t>
      </w:r>
      <w:r>
        <w:t xml:space="preserve"> </w:t>
      </w:r>
      <w:r>
        <w:t xml:space="preserve">(c. 1148 CE). Trans. E.R.A. Sewter (1969). London: Penguin.</w:t>
      </w:r>
    </w:p>
    <w:p>
      <w:pPr>
        <w:numPr>
          <w:ilvl w:val="1"/>
          <w:numId w:val="1005"/>
        </w:numPr>
        <w:pStyle w:val="Compact"/>
      </w:pPr>
      <w:r>
        <w:t xml:space="preserve">Byzantine princess’s history; describes Greek Fire use in 11th-century naval battles.</w:t>
      </w:r>
    </w:p>
    <w:p>
      <w:pPr>
        <w:numPr>
          <w:ilvl w:val="0"/>
          <w:numId w:val="1001"/>
        </w:numPr>
        <w:pStyle w:val="Compact"/>
      </w:pPr>
      <w:r>
        <w:t xml:space="preserve">Leo VI.</w:t>
      </w:r>
      <w:r>
        <w:t xml:space="preserve"> </w:t>
      </w:r>
      <w:r>
        <w:rPr>
          <w:iCs/>
          <w:i/>
        </w:rPr>
        <w:t xml:space="preserve">Tactica</w:t>
      </w:r>
      <w:r>
        <w:t xml:space="preserve"> </w:t>
      </w:r>
      <w:r>
        <w:t xml:space="preserve">(c. 900 CE). Trans. George T. Dennis (2010).</w:t>
      </w:r>
      <w:r>
        <w:t xml:space="preserve"> </w:t>
      </w:r>
      <w:r>
        <w:rPr>
          <w:iCs/>
          <w:i/>
        </w:rPr>
        <w:t xml:space="preserve">The Taktika of Leo VI</w:t>
      </w:r>
      <w:r>
        <w:t xml:space="preserve">. Washington, DC: Dumbarton Oaks.</w:t>
      </w:r>
    </w:p>
    <w:p>
      <w:pPr>
        <w:numPr>
          <w:ilvl w:val="1"/>
          <w:numId w:val="1006"/>
        </w:numPr>
        <w:pStyle w:val="Compact"/>
      </w:pPr>
      <w:r>
        <w:t xml:space="preserve">Byzantine military manual; discusses Greek Fire deployment but provides no formula.</w:t>
      </w:r>
    </w:p>
    <w:p>
      <w:r>
        <w:pict>
          <v:rect style="width:0;height:1.5pt" o:hralign="center" o:hrstd="t" o:hr="t"/>
        </w:pict>
      </w:r>
    </w:p>
    <w:bookmarkEnd w:id="20"/>
    <w:bookmarkStart w:id="21" w:name="Xcf79707d1db362cdfae29ad4ac07b177198476d"/>
    <w:p>
      <w:pPr>
        <w:pStyle w:val="Heading2"/>
      </w:pPr>
      <w:r>
        <w:t xml:space="preserve">Secondary Sources — Historical and Technical Analysis</w:t>
      </w:r>
    </w:p>
    <w:p>
      <w:pPr>
        <w:numPr>
          <w:ilvl w:val="0"/>
          <w:numId w:val="1007"/>
        </w:numPr>
        <w:pStyle w:val="Compact"/>
      </w:pPr>
      <w:r>
        <w:t xml:space="preserve">Partington, J.R. (1960).</w:t>
      </w:r>
      <w:r>
        <w:t xml:space="preserve"> </w:t>
      </w:r>
      <w:r>
        <w:rPr>
          <w:iCs/>
          <w:i/>
        </w:rPr>
        <w:t xml:space="preserve">A History of Greek Fire and Gunpowder</w:t>
      </w:r>
      <w:r>
        <w:t xml:space="preserve">. Cambridge: W. Heffer &amp; Sons.</w:t>
      </w:r>
    </w:p>
    <w:p>
      <w:pPr>
        <w:numPr>
          <w:ilvl w:val="1"/>
          <w:numId w:val="1008"/>
        </w:numPr>
        <w:pStyle w:val="Compact"/>
      </w:pPr>
      <w:r>
        <w:t xml:space="preserve">Standard scholarly treatment; comprehensive history and chemical analysis of proposed reconstructions.</w:t>
      </w:r>
    </w:p>
    <w:p>
      <w:pPr>
        <w:numPr>
          <w:ilvl w:val="0"/>
          <w:numId w:val="1007"/>
        </w:numPr>
        <w:pStyle w:val="Compact"/>
      </w:pPr>
      <w:r>
        <w:t xml:space="preserve">Haldon, John &amp; Byrne, Maurice (1977).</w:t>
      </w:r>
      <w:r>
        <w:t xml:space="preserve"> </w:t>
      </w:r>
      <w:r>
        <w:t xml:space="preserve">“</w:t>
      </w:r>
      <w:r>
        <w:t xml:space="preserve">A Possible Solution to the Problem of Greek Fire.</w:t>
      </w:r>
      <w:r>
        <w:t xml:space="preserve">”</w:t>
      </w:r>
      <w:r>
        <w:t xml:space="preserve"> </w:t>
      </w:r>
      <w:r>
        <w:rPr>
          <w:iCs/>
          <w:i/>
        </w:rPr>
        <w:t xml:space="preserve">Byzantinische Zeitschrift</w:t>
      </w:r>
      <w:r>
        <w:t xml:space="preserve"> </w:t>
      </w:r>
      <w:r>
        <w:t xml:space="preserve">70: 91–99.</w:t>
      </w:r>
    </w:p>
    <w:p>
      <w:pPr>
        <w:numPr>
          <w:ilvl w:val="1"/>
          <w:numId w:val="1009"/>
        </w:numPr>
        <w:pStyle w:val="Compact"/>
      </w:pPr>
      <w:r>
        <w:t xml:space="preserve">Influential modern reconstruction hypothesis: petroleum distillate + quicklime.</w:t>
      </w:r>
    </w:p>
    <w:p>
      <w:pPr>
        <w:numPr>
          <w:ilvl w:val="0"/>
          <w:numId w:val="1007"/>
        </w:numPr>
        <w:pStyle w:val="Compact"/>
      </w:pPr>
      <w:r>
        <w:t xml:space="preserve">Pryor, John H. &amp; Jeffreys, Elizabeth M. (2006).</w:t>
      </w:r>
      <w:r>
        <w:t xml:space="preserve"> </w:t>
      </w:r>
      <w:r>
        <w:rPr>
          <w:iCs/>
          <w:i/>
        </w:rPr>
        <w:t xml:space="preserve">The Age of the Dromon: The Byzantine Navy ca. 500–1204</w:t>
      </w:r>
      <w:r>
        <w:t xml:space="preserve">. Leiden: Brill.</w:t>
      </w:r>
    </w:p>
    <w:p>
      <w:pPr>
        <w:numPr>
          <w:ilvl w:val="1"/>
          <w:numId w:val="1010"/>
        </w:numPr>
        <w:pStyle w:val="Compact"/>
      </w:pPr>
      <w:r>
        <w:t xml:space="preserve">Comprehensive study of Byzantine naval warfare and Greek Fire’s tactical role.</w:t>
      </w:r>
    </w:p>
    <w:p>
      <w:pPr>
        <w:numPr>
          <w:ilvl w:val="0"/>
          <w:numId w:val="1007"/>
        </w:numPr>
        <w:pStyle w:val="Compact"/>
      </w:pPr>
      <w:r>
        <w:t xml:space="preserve">Roland, Alex (1992).</w:t>
      </w:r>
      <w:r>
        <w:t xml:space="preserve"> </w:t>
      </w:r>
      <w:r>
        <w:t xml:space="preserve">“</w:t>
      </w:r>
      <w:r>
        <w:t xml:space="preserve">Secrecy, Technology, and War: Greek Fire and the Defense of Byzantium, 678–1204.</w:t>
      </w:r>
      <w:r>
        <w:t xml:space="preserve">”</w:t>
      </w:r>
      <w:r>
        <w:t xml:space="preserve"> </w:t>
      </w:r>
      <w:r>
        <w:rPr>
          <w:iCs/>
          <w:i/>
        </w:rPr>
        <w:t xml:space="preserve">Technology and Culture</w:t>
      </w:r>
      <w:r>
        <w:t xml:space="preserve"> </w:t>
      </w:r>
      <w:r>
        <w:t xml:space="preserve">33(4): 655–679.</w:t>
      </w:r>
    </w:p>
    <w:p>
      <w:pPr>
        <w:numPr>
          <w:ilvl w:val="1"/>
          <w:numId w:val="1011"/>
        </w:numPr>
        <w:pStyle w:val="Compact"/>
      </w:pPr>
      <w:r>
        <w:t xml:space="preserve">Analysis of Greek Fire as a case study in technological secrecy and its consequences.</w:t>
      </w:r>
    </w:p>
    <w:p>
      <w:r>
        <w:pict>
          <v:rect style="width:0;height:1.5pt" o:hralign="center" o:hrstd="t" o:hr="t"/>
        </w:pict>
      </w:r>
    </w:p>
    <w:bookmarkEnd w:id="21"/>
    <w:bookmarkStart w:id="22" w:name="chemical-and-reconstruction-analyses"/>
    <w:p>
      <w:pPr>
        <w:pStyle w:val="Heading2"/>
      </w:pPr>
      <w:r>
        <w:t xml:space="preserve">Chemical and Reconstruction Analyses</w:t>
      </w:r>
    </w:p>
    <w:p>
      <w:pPr>
        <w:numPr>
          <w:ilvl w:val="0"/>
          <w:numId w:val="1012"/>
        </w:numPr>
        <w:pStyle w:val="Compact"/>
      </w:pPr>
      <w:r>
        <w:t xml:space="preserve">Forbes, R.J. (1959).</w:t>
      </w:r>
      <w:r>
        <w:t xml:space="preserve"> </w:t>
      </w:r>
      <w:r>
        <w:rPr>
          <w:iCs/>
          <w:i/>
        </w:rPr>
        <w:t xml:space="preserve">More Studies in Early Petroleum History, 1860–1880</w:t>
      </w:r>
      <w:r>
        <w:t xml:space="preserve">. Leiden: Brill.</w:t>
      </w:r>
    </w:p>
    <w:p>
      <w:pPr>
        <w:numPr>
          <w:ilvl w:val="1"/>
          <w:numId w:val="1013"/>
        </w:numPr>
        <w:pStyle w:val="Compact"/>
      </w:pPr>
      <w:r>
        <w:t xml:space="preserve">Historical analysis of petroleum distillates; relevance to Greek Fire hypotheses.</w:t>
      </w:r>
    </w:p>
    <w:p>
      <w:pPr>
        <w:numPr>
          <w:ilvl w:val="0"/>
          <w:numId w:val="1012"/>
        </w:numPr>
        <w:pStyle w:val="Compact"/>
      </w:pPr>
      <w:r>
        <w:t xml:space="preserve">Needham, Joseph (1986).</w:t>
      </w:r>
      <w:r>
        <w:t xml:space="preserve"> </w:t>
      </w:r>
      <w:r>
        <w:rPr>
          <w:iCs/>
          <w:i/>
        </w:rPr>
        <w:t xml:space="preserve">Science and Civilisation in China</w:t>
      </w:r>
      <w:r>
        <w:t xml:space="preserve">, vol. 5:</w:t>
      </w:r>
      <w:r>
        <w:t xml:space="preserve"> </w:t>
      </w:r>
      <w:r>
        <w:rPr>
          <w:iCs/>
          <w:i/>
        </w:rPr>
        <w:t xml:space="preserve">Chemistry and Chemical Technology</w:t>
      </w:r>
      <w:r>
        <w:t xml:space="preserve">, part 7:</w:t>
      </w:r>
      <w:r>
        <w:t xml:space="preserve"> </w:t>
      </w:r>
      <w:r>
        <w:rPr>
          <w:iCs/>
          <w:i/>
        </w:rPr>
        <w:t xml:space="preserve">Military Technology: The Gunpowder Epic</w:t>
      </w:r>
      <w:r>
        <w:t xml:space="preserve">. Cambridge University Press.</w:t>
      </w:r>
    </w:p>
    <w:p>
      <w:pPr>
        <w:numPr>
          <w:ilvl w:val="1"/>
          <w:numId w:val="1014"/>
        </w:numPr>
        <w:pStyle w:val="Compact"/>
      </w:pPr>
      <w:r>
        <w:t xml:space="preserve">Comparative analysis of incendiary weapons; includes discussion of Greek Fire.</w:t>
      </w:r>
    </w:p>
    <w:p>
      <w:pPr>
        <w:numPr>
          <w:ilvl w:val="0"/>
          <w:numId w:val="1012"/>
        </w:numPr>
        <w:pStyle w:val="Compact"/>
      </w:pPr>
      <w:r>
        <w:t xml:space="preserve">Mayor, Adrienne (2003).</w:t>
      </w:r>
      <w:r>
        <w:t xml:space="preserve"> </w:t>
      </w:r>
      <w:r>
        <w:rPr>
          <w:iCs/>
          <w:i/>
        </w:rPr>
        <w:t xml:space="preserve">Greek Fire, Poison Arrows, and Scorpion Bombs: Biological and Chemical Warfare in the Ancient World</w:t>
      </w:r>
      <w:r>
        <w:t xml:space="preserve">. New York: Overlook Press.</w:t>
      </w:r>
    </w:p>
    <w:p>
      <w:pPr>
        <w:numPr>
          <w:ilvl w:val="1"/>
          <w:numId w:val="1015"/>
        </w:numPr>
        <w:pStyle w:val="Compact"/>
      </w:pPr>
      <w:r>
        <w:t xml:space="preserve">Popular history; includes Greek Fire in broader context of ancient chemical weapons.</w:t>
      </w:r>
    </w:p>
    <w:p>
      <w:r>
        <w:pict>
          <v:rect style="width:0;height:1.5pt" o:hralign="center" o:hrstd="t" o:hr="t"/>
        </w:pict>
      </w:r>
    </w:p>
    <w:bookmarkEnd w:id="22"/>
    <w:bookmarkStart w:id="23" w:name="X03924f209cdcd649d339acdb0380d18b74ed053"/>
    <w:p>
      <w:pPr>
        <w:pStyle w:val="Heading2"/>
      </w:pPr>
      <w:r>
        <w:t xml:space="preserve">Byzantine History and Institutional Context</w:t>
      </w:r>
    </w:p>
    <w:p>
      <w:pPr>
        <w:numPr>
          <w:ilvl w:val="0"/>
          <w:numId w:val="1016"/>
        </w:numPr>
        <w:pStyle w:val="Compact"/>
      </w:pPr>
      <w:r>
        <w:t xml:space="preserve">Treadgold, Warren (1997).</w:t>
      </w:r>
      <w:r>
        <w:t xml:space="preserve"> </w:t>
      </w:r>
      <w:r>
        <w:rPr>
          <w:iCs/>
          <w:i/>
        </w:rPr>
        <w:t xml:space="preserve">A History of the Byzantine State and Society</w:t>
      </w:r>
      <w:r>
        <w:t xml:space="preserve">. Stanford University Press.</w:t>
      </w:r>
    </w:p>
    <w:p>
      <w:pPr>
        <w:numPr>
          <w:ilvl w:val="1"/>
          <w:numId w:val="1017"/>
        </w:numPr>
        <w:pStyle w:val="Compact"/>
      </w:pPr>
      <w:r>
        <w:t xml:space="preserve">General Byzantine history; context for military and technological development.</w:t>
      </w:r>
    </w:p>
    <w:p>
      <w:pPr>
        <w:numPr>
          <w:ilvl w:val="0"/>
          <w:numId w:val="1016"/>
        </w:numPr>
        <w:pStyle w:val="Compact"/>
      </w:pPr>
      <w:r>
        <w:t xml:space="preserve">Kazhdan, Alexander P., ed. (1991).</w:t>
      </w:r>
      <w:r>
        <w:t xml:space="preserve"> </w:t>
      </w:r>
      <w:r>
        <w:rPr>
          <w:iCs/>
          <w:i/>
        </w:rPr>
        <w:t xml:space="preserve">The Oxford Dictionary of Byzantium</w:t>
      </w:r>
      <w:r>
        <w:t xml:space="preserve">. Oxford University Press.</w:t>
      </w:r>
    </w:p>
    <w:p>
      <w:pPr>
        <w:numPr>
          <w:ilvl w:val="1"/>
          <w:numId w:val="1018"/>
        </w:numPr>
        <w:pStyle w:val="Compact"/>
      </w:pPr>
      <w:r>
        <w:t xml:space="preserve">Reference work; entry on Greek Fire and related technologies.</w:t>
      </w:r>
    </w:p>
    <w:p>
      <w:pPr>
        <w:numPr>
          <w:ilvl w:val="0"/>
          <w:numId w:val="1016"/>
        </w:numPr>
        <w:pStyle w:val="Compact"/>
      </w:pPr>
      <w:r>
        <w:t xml:space="preserve">Ahrweiler, Hélène (1966).</w:t>
      </w:r>
      <w:r>
        <w:t xml:space="preserve"> </w:t>
      </w:r>
      <w:r>
        <w:rPr>
          <w:iCs/>
          <w:i/>
        </w:rPr>
        <w:t xml:space="preserve">Byzance et la mer: La marine de guerre, la politique et les institutions maritimes de Byzance aux VIIe–XVe siècles</w:t>
      </w:r>
      <w:r>
        <w:t xml:space="preserve">. Paris: Presses Universitaires de France.</w:t>
      </w:r>
    </w:p>
    <w:p>
      <w:pPr>
        <w:numPr>
          <w:ilvl w:val="1"/>
          <w:numId w:val="1019"/>
        </w:numPr>
        <w:pStyle w:val="Compact"/>
      </w:pPr>
      <w:r>
        <w:t xml:space="preserve">Detailed study of Byzantine naval institutions; context for Greek Fire’s development and loss.</w:t>
      </w:r>
    </w:p>
    <w:p>
      <w:r>
        <w:pict>
          <v:rect style="width:0;height:1.5pt" o:hralign="center" o:hrstd="t" o:hr="t"/>
        </w:pict>
      </w:r>
    </w:p>
    <w:bookmarkEnd w:id="23"/>
    <w:bookmarkStart w:id="24" w:name="technological-secrecy-and-knowledge-loss"/>
    <w:p>
      <w:pPr>
        <w:pStyle w:val="Heading2"/>
      </w:pPr>
      <w:r>
        <w:t xml:space="preserve">Technological Secrecy and Knowledge Loss</w:t>
      </w:r>
    </w:p>
    <w:p>
      <w:pPr>
        <w:numPr>
          <w:ilvl w:val="0"/>
          <w:numId w:val="1020"/>
        </w:numPr>
        <w:pStyle w:val="Compact"/>
      </w:pPr>
      <w:r>
        <w:t xml:space="preserve">Roland, Alex (2003).</w:t>
      </w:r>
      <w:r>
        <w:t xml:space="preserve"> </w:t>
      </w:r>
      <w:r>
        <w:t xml:space="preserve">“</w:t>
      </w:r>
      <w:r>
        <w:t xml:space="preserve">Science, Technology, and War.</w:t>
      </w:r>
      <w:r>
        <w:t xml:space="preserve">”</w:t>
      </w:r>
      <w:r>
        <w:t xml:space="preserve"> </w:t>
      </w:r>
      <w:r>
        <w:rPr>
          <w:iCs/>
          <w:i/>
        </w:rPr>
        <w:t xml:space="preserve">Technology and Culture</w:t>
      </w:r>
      <w:r>
        <w:t xml:space="preserve"> </w:t>
      </w:r>
      <w:r>
        <w:t xml:space="preserve">44(3): 571–578.</w:t>
      </w:r>
    </w:p>
    <w:p>
      <w:pPr>
        <w:numPr>
          <w:ilvl w:val="1"/>
          <w:numId w:val="1021"/>
        </w:numPr>
        <w:pStyle w:val="Compact"/>
      </w:pPr>
      <w:r>
        <w:t xml:space="preserve">Broader discussion of military secrecy and technological knowledge preservation.</w:t>
      </w:r>
    </w:p>
    <w:p>
      <w:pPr>
        <w:numPr>
          <w:ilvl w:val="0"/>
          <w:numId w:val="1020"/>
        </w:numPr>
        <w:pStyle w:val="Compact"/>
      </w:pPr>
      <w:r>
        <w:t xml:space="preserve">McNeill, William H. (1982).</w:t>
      </w:r>
      <w:r>
        <w:t xml:space="preserve"> </w:t>
      </w:r>
      <w:r>
        <w:rPr>
          <w:iCs/>
          <w:i/>
        </w:rPr>
        <w:t xml:space="preserve">The Pursuit of Power: Technology, Armed Force, and Society since A.D. 1000</w:t>
      </w:r>
      <w:r>
        <w:t xml:space="preserve">. University of Chicago Press.</w:t>
      </w:r>
    </w:p>
    <w:p>
      <w:pPr>
        <w:numPr>
          <w:ilvl w:val="1"/>
          <w:numId w:val="1022"/>
        </w:numPr>
        <w:pStyle w:val="Compact"/>
      </w:pPr>
      <w:r>
        <w:t xml:space="preserve">Historical analysis of military technology and state power; includes Greek Fire as case study.</w:t>
      </w:r>
    </w:p>
    <w:p>
      <w:r>
        <w:pict>
          <v:rect style="width:0;height:1.5pt" o:hralign="center" o:hrstd="t" o:hr="t"/>
        </w:pict>
      </w:r>
    </w:p>
    <w:bookmarkEnd w:id="24"/>
    <w:bookmarkStart w:id="25" w:name="cif-and-knowledge-inheritance-context"/>
    <w:p>
      <w:pPr>
        <w:pStyle w:val="Heading2"/>
      </w:pPr>
      <w:r>
        <w:t xml:space="preserve">CIF and Knowledge Inheritance Context</w:t>
      </w:r>
    </w:p>
    <w:p>
      <w:pPr>
        <w:numPr>
          <w:ilvl w:val="0"/>
          <w:numId w:val="1023"/>
        </w:numPr>
        <w:pStyle w:val="Compact"/>
      </w:pPr>
      <w:r>
        <w:t xml:space="preserve">Long, Pamela O. (2001).</w:t>
      </w:r>
      <w:r>
        <w:t xml:space="preserve"> </w:t>
      </w:r>
      <w:r>
        <w:rPr>
          <w:iCs/>
          <w:i/>
        </w:rPr>
        <w:t xml:space="preserve">Openness, Secrecy, Authorship: Technical Arts and the Culture of Knowledge from Antiquity to the Renaissance</w:t>
      </w:r>
      <w:r>
        <w:t xml:space="preserve">. Johns Hopkins University Press.</w:t>
      </w:r>
    </w:p>
    <w:p>
      <w:pPr>
        <w:numPr>
          <w:ilvl w:val="1"/>
          <w:numId w:val="1024"/>
        </w:numPr>
        <w:pStyle w:val="Compact"/>
      </w:pPr>
      <w:r>
        <w:t xml:space="preserve">Historical analysis of the tension between secrecy and knowledge transmission in technical fields.</w:t>
      </w:r>
    </w:p>
    <w:p>
      <w:pPr>
        <w:numPr>
          <w:ilvl w:val="0"/>
          <w:numId w:val="1023"/>
        </w:numPr>
        <w:pStyle w:val="Compact"/>
      </w:pPr>
      <w:r>
        <w:t xml:space="preserve">Mokyr, Joel (2002).</w:t>
      </w:r>
      <w:r>
        <w:t xml:space="preserve"> </w:t>
      </w:r>
      <w:r>
        <w:rPr>
          <w:iCs/>
          <w:i/>
        </w:rPr>
        <w:t xml:space="preserve">The Gifts of Athena: Historical Origins of the Knowledge Economy</w:t>
      </w:r>
      <w:r>
        <w:t xml:space="preserve">. Princeton University Press.</w:t>
      </w:r>
    </w:p>
    <w:p>
      <w:pPr>
        <w:numPr>
          <w:ilvl w:val="1"/>
          <w:numId w:val="1025"/>
        </w:numPr>
        <w:pStyle w:val="Compact"/>
      </w:pPr>
      <w:r>
        <w:t xml:space="preserve">Economic and historical analysis of knowledge creation, transmission, and loss.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2026-07-28</w:t>
      </w:r>
      <w:r>
        <w:br/>
      </w:r>
      <w:r>
        <w:rPr>
          <w:bCs/>
          <w:b/>
        </w:rPr>
        <w:t xml:space="preserve">Series:</w:t>
      </w:r>
      <w:r>
        <w:t xml:space="preserve"> </w:t>
      </w:r>
      <w:r>
        <w:t xml:space="preserve">CIF Recovery Systems Test Series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Derek Hone · Remnant Fieldworks Inc.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2026-07-28T17:55:46Z</dcterms:created>
  <dcterms:modified xsi:type="dcterms:W3CDTF">2026-07-28T17:55:46Z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