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esearch-methodology-and-ai-disclosure"/>
    <w:p>
      <w:pPr>
        <w:pStyle w:val="Heading1"/>
      </w:pPr>
      <w:r>
        <w:t xml:space="preserve">Research Methodology and AI Disclosure</w:t>
      </w:r>
    </w:p>
    <w:p>
      <w:pPr>
        <w:pStyle w:val="FirstParagraph"/>
      </w:pPr>
      <w:r>
        <w:rPr>
          <w:bCs/>
          <w:b/>
        </w:rPr>
        <w:t xml:space="preserve">CIF Ancient Systems Test Series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Derek Hone / Remnant Fieldworks Inc.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2026-07-28</w:t>
      </w:r>
    </w:p>
    <w:p>
      <w:r>
        <w:pict>
          <v:rect style="width:0;height:1.5pt" o:hralign="center" o:hrstd="t" o:hr="t"/>
        </w:pict>
      </w:r>
    </w:p>
    <w:bookmarkStart w:id="20" w:name="research-approach"/>
    <w:p>
      <w:pPr>
        <w:pStyle w:val="Heading2"/>
      </w:pPr>
      <w:r>
        <w:t xml:space="preserve">Research Approach</w:t>
      </w:r>
    </w:p>
    <w:p>
      <w:pPr>
        <w:pStyle w:val="FirstParagraph"/>
      </w:pPr>
      <w:r>
        <w:t xml:space="preserve">The CIF Ancient Systems Test Series uses historical and archaeological case studies to stress-test the Coherent Inheritance Framework (CIF) — a candidate cross-domain framework for analyzing how information, knowledge, and capability are transmitted across discontinuities in time, technology, and culture.</w:t>
      </w:r>
    </w:p>
    <w:p>
      <w:pPr>
        <w:pStyle w:val="BodyText"/>
      </w:pPr>
      <w:r>
        <w:t xml:space="preserve">Each case study follows a disciplined methodology: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Evidence Classification</w:t>
      </w:r>
      <w:r>
        <w:t xml:space="preserve"> </w:t>
      </w:r>
      <w:r>
        <w:t xml:space="preserve">— All claims are tagged as ESTABLISHED (consensus scholarly position), PLAUSIBLE (defensible interpretation with some scholarly support), or SPECULATIVE (hypothesis or extrapolation requiring further validation).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Source Grounding</w:t>
      </w:r>
      <w:r>
        <w:t xml:space="preserve"> </w:t>
      </w:r>
      <w:r>
        <w:t xml:space="preserve">— Every factual claim is traced to a specific published source (peer-reviewed papers, monographs, archaeological reports, or authoritative historical texts). Full bibliographies are provided in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 </w:t>
      </w:r>
      <w:r>
        <w:t xml:space="preserve">files for each case.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Falsification Checks</w:t>
      </w:r>
      <w:r>
        <w:t xml:space="preserve"> </w:t>
      </w:r>
      <w:r>
        <w:t xml:space="preserve">— Each case study ends with a mandatory falsification check that identifies what evidence would disprove or significantly challenge the CIF analysis presented.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Framework Consistency</w:t>
      </w:r>
      <w:r>
        <w:t xml:space="preserve"> </w:t>
      </w:r>
      <w:r>
        <w:t xml:space="preserve">— All case studies use the same analytical structure: Five Inheritance Layers (data, structure, method, institutional, living), six CIF axioms, and a shared verdict taxonomy.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Counterexample Inclusion</w:t>
      </w:r>
      <w:r>
        <w:t xml:space="preserve"> </w:t>
      </w:r>
      <w:r>
        <w:t xml:space="preserve">— Cases that challenge or refine CIF (e.g., Greek Fire’s permanent loss, the Antikythera Mechanism’s institutional collapse) are included deliberately, not excluded.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Transparency and Correction</w:t>
      </w:r>
      <w:r>
        <w:t xml:space="preserve"> </w:t>
      </w:r>
      <w:r>
        <w:t xml:space="preserve">— Version history is preserved via GitHub. Errors discovered after publication are documented in the CHANGELOG and corrected in subsequent releases with clear notes about what changed and why.</w:t>
      </w:r>
    </w:p>
    <w:p>
      <w:r>
        <w:pict>
          <v:rect style="width:0;height:1.5pt" o:hralign="center" o:hrstd="t" o:hr="t"/>
        </w:pict>
      </w:r>
    </w:p>
    <w:bookmarkEnd w:id="20"/>
    <w:bookmarkStart w:id="21" w:name="ai-assisted-research-and-drafting"/>
    <w:p>
      <w:pPr>
        <w:pStyle w:val="Heading2"/>
      </w:pPr>
      <w:r>
        <w:t xml:space="preserve">AI-Assisted Research and Drafting</w:t>
      </w:r>
    </w:p>
    <w:p>
      <w:pPr>
        <w:pStyle w:val="FirstParagraph"/>
      </w:pPr>
      <w:r>
        <w:rPr>
          <w:bCs/>
          <w:b/>
        </w:rPr>
        <w:t xml:space="preserve">AI-assisted research and drafting tools were used during the development of this project.</w:t>
      </w:r>
    </w:p>
    <w:p>
      <w:pPr>
        <w:pStyle w:val="BodyText"/>
      </w:pPr>
      <w:r>
        <w:t xml:space="preserve">This includes:</w:t>
      </w:r>
    </w:p>
    <w:p>
      <w:pPr>
        <w:numPr>
          <w:ilvl w:val="0"/>
          <w:numId w:val="1002"/>
        </w:numPr>
        <w:pStyle w:val="Compact"/>
      </w:pPr>
      <w:r>
        <w:t xml:space="preserve">Literature search and source discovery</w:t>
      </w:r>
    </w:p>
    <w:p>
      <w:pPr>
        <w:numPr>
          <w:ilvl w:val="0"/>
          <w:numId w:val="1002"/>
        </w:numPr>
        <w:pStyle w:val="Compact"/>
      </w:pPr>
      <w:r>
        <w:t xml:space="preserve">Outline generation and case study structuring</w:t>
      </w:r>
    </w:p>
    <w:p>
      <w:pPr>
        <w:numPr>
          <w:ilvl w:val="0"/>
          <w:numId w:val="1002"/>
        </w:numPr>
        <w:pStyle w:val="Compact"/>
      </w:pPr>
      <w:r>
        <w:t xml:space="preserve">Drafting prose for case studies, synthesis documents, and framework explanations</w:t>
      </w:r>
    </w:p>
    <w:p>
      <w:pPr>
        <w:numPr>
          <w:ilvl w:val="0"/>
          <w:numId w:val="1002"/>
        </w:numPr>
        <w:pStyle w:val="Compact"/>
      </w:pPr>
      <w:r>
        <w:t xml:space="preserve">Citation formatting and bibliography management</w:t>
      </w:r>
    </w:p>
    <w:p>
      <w:pPr>
        <w:numPr>
          <w:ilvl w:val="0"/>
          <w:numId w:val="1002"/>
        </w:numPr>
        <w:pStyle w:val="Compact"/>
      </w:pPr>
      <w:r>
        <w:t xml:space="preserve">Code generation for repository automation (PDF conversion, metadata files)</w:t>
      </w:r>
    </w:p>
    <w:p>
      <w:pPr>
        <w:numPr>
          <w:ilvl w:val="0"/>
          <w:numId w:val="1002"/>
        </w:numPr>
        <w:pStyle w:val="Compact"/>
      </w:pPr>
      <w:r>
        <w:t xml:space="preserve">Logical consistency checking and counterargument identification</w:t>
      </w:r>
    </w:p>
    <w:p>
      <w:pPr>
        <w:numPr>
          <w:ilvl w:val="0"/>
          <w:numId w:val="1002"/>
        </w:numPr>
        <w:pStyle w:val="Compact"/>
      </w:pPr>
      <w:r>
        <w:t xml:space="preserve">Summarization and cross-case pattern analysis</w:t>
      </w:r>
    </w:p>
    <w:p>
      <w:pPr>
        <w:pStyle w:val="FirstParagraph"/>
      </w:pPr>
      <w:r>
        <w:rPr>
          <w:bCs/>
          <w:b/>
        </w:rPr>
        <w:t xml:space="preserve">All source selection, evidentiary classifications, framework interpretations, revisions, and final publication decisions remain the responsibility of Derek Hone and Remnant Fieldworks Inc.</w:t>
      </w:r>
    </w:p>
    <w:p>
      <w:r>
        <w:pict>
          <v:rect style="width:0;height:1.5pt" o:hralign="center" o:hrstd="t" o:hr="t"/>
        </w:pict>
      </w:r>
    </w:p>
    <w:bookmarkEnd w:id="21"/>
    <w:bookmarkStart w:id="28" w:name="governing-principles-for-ai-use"/>
    <w:p>
      <w:pPr>
        <w:pStyle w:val="Heading2"/>
      </w:pPr>
      <w:r>
        <w:t xml:space="preserve">Governing Principles for AI Use</w:t>
      </w:r>
    </w:p>
    <w:p>
      <w:pPr>
        <w:pStyle w:val="FirstParagraph"/>
      </w:pPr>
      <w:r>
        <w:t xml:space="preserve">AI tools are treated as</w:t>
      </w:r>
      <w:r>
        <w:t xml:space="preserve"> </w:t>
      </w:r>
      <w:r>
        <w:rPr>
          <w:bCs/>
          <w:b/>
        </w:rPr>
        <w:t xml:space="preserve">research assistants</w:t>
      </w:r>
      <w:r>
        <w:t xml:space="preserve">, not as authorities or independent validators.</w:t>
      </w:r>
    </w:p>
    <w:p>
      <w:pPr>
        <w:pStyle w:val="BodyText"/>
      </w:pPr>
      <w:r>
        <w:t xml:space="preserve">The following principles govern AI use in this project:</w:t>
      </w:r>
    </w:p>
    <w:bookmarkStart w:id="22" w:name="evidence-discipline-over-ai-output"/>
    <w:p>
      <w:pPr>
        <w:pStyle w:val="Heading3"/>
      </w:pPr>
      <w:r>
        <w:t xml:space="preserve">1. Evidence Discipline Over AI Output</w:t>
      </w:r>
    </w:p>
    <w:p>
      <w:pPr>
        <w:pStyle w:val="FirstParagraph"/>
      </w:pPr>
      <w:r>
        <w:t xml:space="preserve">AI can suggest sources, draft prose, or propose interpretations — but</w:t>
      </w:r>
      <w:r>
        <w:t xml:space="preserve"> </w:t>
      </w:r>
      <w:r>
        <w:rPr>
          <w:bCs/>
          <w:b/>
        </w:rPr>
        <w:t xml:space="preserve">evidence always governs the final conclusion</w:t>
      </w:r>
      <w:r>
        <w:t xml:space="preserve">. If an AI-generated statement cannot be traced to a real, verifiable source, it is not published.</w:t>
      </w:r>
    </w:p>
    <w:bookmarkEnd w:id="22"/>
    <w:bookmarkStart w:id="23" w:name="verification-of-citations"/>
    <w:p>
      <w:pPr>
        <w:pStyle w:val="Heading3"/>
      </w:pPr>
      <w:r>
        <w:t xml:space="preserve">2. Verification of Citations</w:t>
      </w:r>
    </w:p>
    <w:p>
      <w:pPr>
        <w:pStyle w:val="FirstParagraph"/>
      </w:pPr>
      <w:r>
        <w:t xml:space="preserve">AI can invent citations, confuse dates, or blend competing theories.</w:t>
      </w:r>
      <w:r>
        <w:t xml:space="preserve"> </w:t>
      </w:r>
      <w:r>
        <w:rPr>
          <w:bCs/>
          <w:b/>
        </w:rPr>
        <w:t xml:space="preserve">All citations are verified against actual published sources</w:t>
      </w:r>
      <w:r>
        <w:t xml:space="preserve"> </w:t>
      </w:r>
      <w:r>
        <w:t xml:space="preserve">before inclusion. No unverified AI-generated references are used.</w:t>
      </w:r>
    </w:p>
    <w:bookmarkEnd w:id="23"/>
    <w:bookmarkStart w:id="24" w:name="disclosure-of-uncertainty"/>
    <w:p>
      <w:pPr>
        <w:pStyle w:val="Heading3"/>
      </w:pPr>
      <w:r>
        <w:t xml:space="preserve">3. Disclosure of Uncertainty</w:t>
      </w:r>
    </w:p>
    <w:p>
      <w:pPr>
        <w:pStyle w:val="FirstParagraph"/>
      </w:pPr>
      <w:r>
        <w:t xml:space="preserve">AI tends to produce confident-sounding prose even when evidence is weak.</w:t>
      </w:r>
      <w:r>
        <w:t xml:space="preserve"> </w:t>
      </w:r>
      <w:r>
        <w:rPr>
          <w:bCs/>
          <w:b/>
        </w:rPr>
        <w:t xml:space="preserve">Speculative claims are explicitly tagged as SPECULATIVE</w:t>
      </w:r>
      <w:r>
        <w:t xml:space="preserve">, and uncertainty is preserved rather than papered over.</w:t>
      </w:r>
    </w:p>
    <w:bookmarkEnd w:id="24"/>
    <w:bookmarkStart w:id="25" w:name="human-responsibility"/>
    <w:p>
      <w:pPr>
        <w:pStyle w:val="Heading3"/>
      </w:pPr>
      <w:r>
        <w:t xml:space="preserve">4. Human Responsibility</w:t>
      </w:r>
    </w:p>
    <w:p>
      <w:pPr>
        <w:pStyle w:val="FirstParagraph"/>
      </w:pPr>
      <w:r>
        <w:t xml:space="preserve">AI is not listed as a co-author, reviewer, or independent validator.</w:t>
      </w:r>
      <w:r>
        <w:t xml:space="preserve"> </w:t>
      </w:r>
      <w:r>
        <w:rPr>
          <w:bCs/>
          <w:b/>
        </w:rPr>
        <w:t xml:space="preserve">Derek Hone remains fully responsible</w:t>
      </w:r>
      <w:r>
        <w:t xml:space="preserve"> </w:t>
      </w:r>
      <w:r>
        <w:t xml:space="preserve">for the accuracy, integrity, and scholarly quality of all published work.</w:t>
      </w:r>
    </w:p>
    <w:bookmarkEnd w:id="25"/>
    <w:bookmarkStart w:id="26" w:name="counterexample-inclusion"/>
    <w:p>
      <w:pPr>
        <w:pStyle w:val="Heading3"/>
      </w:pPr>
      <w:r>
        <w:t xml:space="preserve">5. Counterexample Inclusion</w:t>
      </w:r>
    </w:p>
    <w:p>
      <w:pPr>
        <w:pStyle w:val="FirstParagraph"/>
      </w:pPr>
      <w:r>
        <w:t xml:space="preserve">AI can exhibit confirmation bias by emphasizing supportive evidence and downplaying contradictions.</w:t>
      </w:r>
      <w:r>
        <w:t xml:space="preserve"> </w:t>
      </w:r>
      <w:r>
        <w:rPr>
          <w:bCs/>
          <w:b/>
        </w:rPr>
        <w:t xml:space="preserve">Cases that challenge CIF are deliberately included</w:t>
      </w:r>
      <w:r>
        <w:t xml:space="preserve"> </w:t>
      </w:r>
      <w:r>
        <w:t xml:space="preserve">(e.g., Greek Fire, the Antikythera Mechanism), and AI-suggested exclusions of inconvenient evidence are rejected.</w:t>
      </w:r>
    </w:p>
    <w:bookmarkEnd w:id="26"/>
    <w:bookmarkStart w:id="27" w:name="public-correction"/>
    <w:p>
      <w:pPr>
        <w:pStyle w:val="Heading3"/>
      </w:pPr>
      <w:r>
        <w:t xml:space="preserve">6. Public Correction</w:t>
      </w:r>
    </w:p>
    <w:p>
      <w:pPr>
        <w:pStyle w:val="FirstParagraph"/>
      </w:pPr>
      <w:r>
        <w:t xml:space="preserve">When errors are discovered — whether introduced by AI, human oversight, or misinterpretation — they are</w:t>
      </w:r>
      <w:r>
        <w:t xml:space="preserve"> </w:t>
      </w:r>
      <w:r>
        <w:rPr>
          <w:bCs/>
          <w:b/>
        </w:rPr>
        <w:t xml:space="preserve">documented publicly in the CHANGELOG</w:t>
      </w:r>
      <w:r>
        <w:t xml:space="preserve"> </w:t>
      </w:r>
      <w:r>
        <w:t xml:space="preserve">and corrected in subsequent releases.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what-ai-cannot-do"/>
    <w:p>
      <w:pPr>
        <w:pStyle w:val="Heading2"/>
      </w:pPr>
      <w:r>
        <w:t xml:space="preserve">What AI Cannot Do</w:t>
      </w:r>
    </w:p>
    <w:p>
      <w:pPr>
        <w:pStyle w:val="FirstParagraph"/>
      </w:pPr>
      <w:r>
        <w:t xml:space="preserve">AI tools cannot:</w:t>
      </w:r>
    </w:p>
    <w:p>
      <w:pPr>
        <w:numPr>
          <w:ilvl w:val="0"/>
          <w:numId w:val="1003"/>
        </w:numPr>
        <w:pStyle w:val="Compact"/>
      </w:pPr>
      <w:r>
        <w:t xml:space="preserve">Conduct original archaeological fieldwork or archival research</w:t>
      </w:r>
    </w:p>
    <w:p>
      <w:pPr>
        <w:numPr>
          <w:ilvl w:val="0"/>
          <w:numId w:val="1003"/>
        </w:numPr>
        <w:pStyle w:val="Compact"/>
      </w:pPr>
      <w:r>
        <w:t xml:space="preserve">Provide independent peer review or scholarly validation</w:t>
      </w:r>
    </w:p>
    <w:p>
      <w:pPr>
        <w:numPr>
          <w:ilvl w:val="0"/>
          <w:numId w:val="1003"/>
        </w:numPr>
        <w:pStyle w:val="Compact"/>
      </w:pPr>
      <w:r>
        <w:t xml:space="preserve">Establish that CIF is proven science or consensus theory</w:t>
      </w:r>
    </w:p>
    <w:p>
      <w:pPr>
        <w:numPr>
          <w:ilvl w:val="0"/>
          <w:numId w:val="1003"/>
        </w:numPr>
        <w:pStyle w:val="Compact"/>
      </w:pPr>
      <w:r>
        <w:t xml:space="preserve">Replace the judgment required to classify evidence as ESTABLISHED vs. PLAUSIBLE vs. SPECULATIVE</w:t>
      </w:r>
    </w:p>
    <w:p>
      <w:pPr>
        <w:numPr>
          <w:ilvl w:val="0"/>
          <w:numId w:val="1003"/>
        </w:numPr>
        <w:pStyle w:val="Compact"/>
      </w:pPr>
      <w:r>
        <w:t xml:space="preserve">Determine whether a case study should be included or excluded based on its fit with CIF</w:t>
      </w:r>
    </w:p>
    <w:p>
      <w:pPr>
        <w:pStyle w:val="FirstParagraph"/>
      </w:pPr>
      <w:r>
        <w:t xml:space="preserve">These remain human responsibilities.</w:t>
      </w:r>
    </w:p>
    <w:p>
      <w:r>
        <w:pict>
          <v:rect style="width:0;height:1.5pt" o:hralign="center" o:hrstd="t" o:hr="t"/>
        </w:pict>
      </w:r>
    </w:p>
    <w:bookmarkEnd w:id="29"/>
    <w:bookmarkStart w:id="30" w:name="credibility-standard"/>
    <w:p>
      <w:pPr>
        <w:pStyle w:val="Heading2"/>
      </w:pPr>
      <w:r>
        <w:t xml:space="preserve">Credibility Standard</w:t>
      </w:r>
    </w:p>
    <w:p>
      <w:pPr>
        <w:pStyle w:val="FirstParagraph"/>
      </w:pPr>
      <w:r>
        <w:t xml:space="preserve">The legitimacy of this work does not rest on</w:t>
      </w:r>
      <w:r>
        <w:t xml:space="preserve"> </w:t>
      </w:r>
      <w:r>
        <w:rPr>
          <w:bCs/>
          <w:b/>
        </w:rPr>
        <w:t xml:space="preserve">whether AI was used</w:t>
      </w:r>
      <w:r>
        <w:t xml:space="preserve">.</w:t>
      </w:r>
    </w:p>
    <w:p>
      <w:pPr>
        <w:pStyle w:val="BodyText"/>
      </w:pPr>
      <w:r>
        <w:t xml:space="preserve">It rests on whether the work is: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Transparent</w:t>
      </w:r>
      <w:r>
        <w:t xml:space="preserve"> </w:t>
      </w:r>
      <w:r>
        <w:t xml:space="preserve">— Sources, reasoning, and version history are public and inspectable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Source-grounded</w:t>
      </w:r>
      <w:r>
        <w:t xml:space="preserve"> </w:t>
      </w:r>
      <w:r>
        <w:t xml:space="preserve">— All factual claims trace to real published scholarship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Falsifiable</w:t>
      </w:r>
      <w:r>
        <w:t xml:space="preserve"> </w:t>
      </w:r>
      <w:r>
        <w:t xml:space="preserve">— Each case includes conditions under which the analysis would fail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Accountable</w:t>
      </w:r>
      <w:r>
        <w:t xml:space="preserve"> </w:t>
      </w:r>
      <w:r>
        <w:t xml:space="preserve">— Errors are corrected publicly, not hidden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Honest about limitations</w:t>
      </w:r>
      <w:r>
        <w:t xml:space="preserve"> </w:t>
      </w:r>
      <w:r>
        <w:t xml:space="preserve">— This is an independent research program, not peer-reviewed consensus science</w:t>
      </w:r>
    </w:p>
    <w:p>
      <w:pPr>
        <w:pStyle w:val="BodyText"/>
      </w:pPr>
      <w:r>
        <w:t xml:space="preserve">AI is a tool that can accelerate research, drafting, and organization — but it does not replace the discipline required to meet these standards.</w:t>
      </w:r>
    </w:p>
    <w:p>
      <w:r>
        <w:pict>
          <v:rect style="width:0;height:1.5pt" o:hralign="center" o:hrstd="t" o:hr="t"/>
        </w:pict>
      </w:r>
    </w:p>
    <w:bookmarkEnd w:id="30"/>
    <w:bookmarkStart w:id="31" w:name="peer-review-and-validation-status"/>
    <w:p>
      <w:pPr>
        <w:pStyle w:val="Heading2"/>
      </w:pPr>
      <w:r>
        <w:t xml:space="preserve">Peer Review and Validation Status</w:t>
      </w:r>
    </w:p>
    <w:p>
      <w:pPr>
        <w:pStyle w:val="FirstParagraph"/>
      </w:pPr>
      <w:r>
        <w:rPr>
          <w:bCs/>
          <w:b/>
        </w:rPr>
        <w:t xml:space="preserve">This work has not undergone formal peer review by an academic journal or institution.</w:t>
      </w:r>
    </w:p>
    <w:p>
      <w:pPr>
        <w:pStyle w:val="BodyText"/>
      </w:pPr>
      <w:r>
        <w:t xml:space="preserve">It is an independent research program conducted by Remnant Fieldworks Inc. and published openly via GitHub and Zenodo for public inspection, critique, and use.</w:t>
      </w:r>
    </w:p>
    <w:p>
      <w:pPr>
        <w:pStyle w:val="BodyText"/>
      </w:pPr>
      <w:r>
        <w:t xml:space="preserve">Readers, scholars, journalists, and other researchers are invited to:</w:t>
      </w:r>
    </w:p>
    <w:p>
      <w:pPr>
        <w:numPr>
          <w:ilvl w:val="0"/>
          <w:numId w:val="1004"/>
        </w:numPr>
        <w:pStyle w:val="Compact"/>
      </w:pPr>
      <w:r>
        <w:t xml:space="preserve">Inspect the sources and reasoning</w:t>
      </w:r>
    </w:p>
    <w:p>
      <w:pPr>
        <w:numPr>
          <w:ilvl w:val="0"/>
          <w:numId w:val="1004"/>
        </w:numPr>
        <w:pStyle w:val="Compact"/>
      </w:pPr>
      <w:r>
        <w:t xml:space="preserve">Challenge the evidentiary classifications</w:t>
      </w:r>
    </w:p>
    <w:p>
      <w:pPr>
        <w:numPr>
          <w:ilvl w:val="0"/>
          <w:numId w:val="1004"/>
        </w:numPr>
        <w:pStyle w:val="Compact"/>
      </w:pPr>
      <w:r>
        <w:t xml:space="preserve">Propose alternative interpretations</w:t>
      </w:r>
    </w:p>
    <w:p>
      <w:pPr>
        <w:numPr>
          <w:ilvl w:val="0"/>
          <w:numId w:val="1004"/>
        </w:numPr>
        <w:pStyle w:val="Compact"/>
      </w:pPr>
      <w:r>
        <w:t xml:space="preserve">Identify errors or omissions</w:t>
      </w:r>
    </w:p>
    <w:p>
      <w:pPr>
        <w:numPr>
          <w:ilvl w:val="0"/>
          <w:numId w:val="1004"/>
        </w:numPr>
        <w:pStyle w:val="Compact"/>
      </w:pPr>
      <w:r>
        <w:t xml:space="preserve">Test CIF against additional case studies</w:t>
      </w:r>
    </w:p>
    <w:p>
      <w:pPr>
        <w:pStyle w:val="FirstParagraph"/>
      </w:pPr>
      <w:r>
        <w:t xml:space="preserve">GitHub issues and pull requests are welcome for substantive critiques or corrections.</w:t>
      </w:r>
    </w:p>
    <w:p>
      <w:r>
        <w:pict>
          <v:rect style="width:0;height:1.5pt" o:hralign="center" o:hrstd="t" o:hr="t"/>
        </w:pict>
      </w:r>
    </w:p>
    <w:bookmarkEnd w:id="31"/>
    <w:bookmarkStart w:id="32" w:name="publication-and-preservation"/>
    <w:p>
      <w:pPr>
        <w:pStyle w:val="Heading2"/>
      </w:pPr>
      <w:r>
        <w:t xml:space="preserve">Publication and Preservation</w:t>
      </w:r>
    </w:p>
    <w:p>
      <w:pPr>
        <w:pStyle w:val="FirstParagraph"/>
      </w:pPr>
      <w:r>
        <w:rPr>
          <w:bCs/>
          <w:b/>
        </w:rPr>
        <w:t xml:space="preserve">GitHub</w:t>
      </w:r>
      <w:r>
        <w:t xml:space="preserve"> </w:t>
      </w:r>
      <w:r>
        <w:t xml:space="preserve">serves as the</w:t>
      </w:r>
      <w:r>
        <w:t xml:space="preserve"> </w:t>
      </w:r>
      <w:r>
        <w:rPr>
          <w:bCs/>
          <w:b/>
        </w:rPr>
        <w:t xml:space="preserve">living development record</w:t>
      </w:r>
      <w:r>
        <w:t xml:space="preserve">, showing how the project evolves over time. It allows readers to inspect version history, compare releases, and see corrections.</w:t>
      </w:r>
    </w:p>
    <w:p>
      <w:pPr>
        <w:pStyle w:val="BodyText"/>
      </w:pPr>
      <w:r>
        <w:rPr>
          <w:bCs/>
          <w:b/>
        </w:rPr>
        <w:t xml:space="preserve">Zenodo</w:t>
      </w:r>
      <w:r>
        <w:t xml:space="preserve"> </w:t>
      </w:r>
      <w:r>
        <w:t xml:space="preserve">serves as the</w:t>
      </w:r>
      <w:r>
        <w:t xml:space="preserve"> </w:t>
      </w:r>
      <w:r>
        <w:rPr>
          <w:bCs/>
          <w:b/>
        </w:rPr>
        <w:t xml:space="preserve">formal archival record</w:t>
      </w:r>
      <w:r>
        <w:t xml:space="preserve">, assigning permanent DOIs to specific released versions and preserving them for long-term citation and access.</w:t>
      </w:r>
    </w:p>
    <w:p>
      <w:pPr>
        <w:pStyle w:val="BodyText"/>
      </w:pPr>
      <w:r>
        <w:t xml:space="preserve">Together, they ensure that:</w:t>
      </w:r>
    </w:p>
    <w:p>
      <w:pPr>
        <w:numPr>
          <w:ilvl w:val="0"/>
          <w:numId w:val="1005"/>
        </w:numPr>
        <w:pStyle w:val="Compact"/>
      </w:pPr>
      <w:r>
        <w:t xml:space="preserve">The work is publicly accessible and citable</w:t>
      </w:r>
    </w:p>
    <w:p>
      <w:pPr>
        <w:numPr>
          <w:ilvl w:val="0"/>
          <w:numId w:val="1005"/>
        </w:numPr>
        <w:pStyle w:val="Compact"/>
      </w:pPr>
      <w:r>
        <w:t xml:space="preserve">Version history is preserved</w:t>
      </w:r>
    </w:p>
    <w:p>
      <w:pPr>
        <w:numPr>
          <w:ilvl w:val="0"/>
          <w:numId w:val="1005"/>
        </w:numPr>
        <w:pStyle w:val="Compact"/>
      </w:pPr>
      <w:r>
        <w:t xml:space="preserve">Corrections and refinements are documented</w:t>
      </w:r>
    </w:p>
    <w:p>
      <w:pPr>
        <w:numPr>
          <w:ilvl w:val="0"/>
          <w:numId w:val="1005"/>
        </w:numPr>
        <w:pStyle w:val="Compact"/>
      </w:pPr>
      <w:r>
        <w:t xml:space="preserve">Future readers can verify claims against original sources</w:t>
      </w:r>
    </w:p>
    <w:p>
      <w:pPr>
        <w:pStyle w:val="FirstParagraph"/>
      </w:pPr>
      <w:r>
        <w:t xml:space="preserve">This aligns with CIF’s own principles:</w:t>
      </w:r>
      <w:r>
        <w:t xml:space="preserve"> </w:t>
      </w:r>
      <w:r>
        <w:rPr>
          <w:bCs/>
          <w:b/>
        </w:rPr>
        <w:t xml:space="preserve">preservation requires transparency, redundancy, and active stewardship</w:t>
      </w:r>
      <w:r>
        <w:t xml:space="preserve">, not passive storage or hidden processes.</w:t>
      </w:r>
    </w:p>
    <w:p>
      <w:r>
        <w:pict>
          <v:rect style="width:0;height:1.5pt" o:hralign="center" o:hrstd="t" o:hr="t"/>
        </w:pict>
      </w:r>
    </w:p>
    <w:bookmarkEnd w:id="32"/>
    <w:bookmarkStart w:id="33" w:name="final-statement"/>
    <w:p>
      <w:pPr>
        <w:pStyle w:val="Heading2"/>
      </w:pPr>
      <w:r>
        <w:t xml:space="preserve">Final Statement</w:t>
      </w:r>
    </w:p>
    <w:p>
      <w:pPr>
        <w:pStyle w:val="FirstParagraph"/>
      </w:pPr>
      <w:r>
        <w:rPr>
          <w:bCs/>
          <w:b/>
        </w:rPr>
        <w:t xml:space="preserve">We use modern tools aggressively, but we do not outsource truth.</w:t>
      </w:r>
    </w:p>
    <w:p>
      <w:pPr>
        <w:pStyle w:val="BodyText"/>
      </w:pPr>
      <w:r>
        <w:t xml:space="preserve">AI is a legitimate and powerful aid for research, drafting, organization, and analysis — but the final responsibility for accuracy, honesty, and scholarly integrity rests with the author.</w:t>
      </w:r>
    </w:p>
    <w:p>
      <w:pPr>
        <w:pStyle w:val="BodyText"/>
      </w:pPr>
      <w:r>
        <w:t xml:space="preserve">The strength of this work is not that it was created without AI.</w:t>
      </w:r>
    </w:p>
    <w:p>
      <w:pPr>
        <w:pStyle w:val="BodyText"/>
      </w:pPr>
      <w:r>
        <w:t xml:space="preserve">The strength is that it is</w:t>
      </w:r>
      <w:r>
        <w:t xml:space="preserve"> </w:t>
      </w:r>
      <w:r>
        <w:rPr>
          <w:bCs/>
          <w:b/>
        </w:rPr>
        <w:t xml:space="preserve">transparent, source-grounded, falsifiable, and accountable</w:t>
      </w:r>
      <w:r>
        <w:t xml:space="preserve"> </w:t>
      </w:r>
      <w:r>
        <w:t xml:space="preserve">— regardless of the tools used to produce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Derek Hone</w:t>
      </w:r>
      <w:r>
        <w:br/>
      </w:r>
      <w:r>
        <w:t xml:space="preserve">Remnant Fieldworks Inc.</w:t>
      </w:r>
      <w:r>
        <w:br/>
      </w:r>
      <w:r>
        <w:t xml:space="preserve">2026-07-28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2026-07-28T18:39:32Z</dcterms:created>
  <dcterms:modified xsi:type="dcterms:W3CDTF">2026-07-28T18:39:32Z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