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ources-linear-b-decipherment"/>
    <w:p>
      <w:pPr>
        <w:pStyle w:val="Heading1"/>
      </w:pPr>
      <w:r>
        <w:t xml:space="preserve">Sources — Linear B Decipherment</w:t>
      </w:r>
    </w:p>
    <w:bookmarkStart w:id="20" w:name="foundational-decipherment-works"/>
    <w:p>
      <w:pPr>
        <w:pStyle w:val="Heading2"/>
      </w:pPr>
      <w:r>
        <w:t xml:space="preserve">Foundational Decipherment Works</w:t>
      </w:r>
    </w:p>
    <w:p>
      <w:pPr>
        <w:numPr>
          <w:ilvl w:val="0"/>
          <w:numId w:val="1001"/>
        </w:numPr>
      </w:pPr>
      <w:r>
        <w:t xml:space="preserve">Chadwick, J. (1958).</w:t>
      </w:r>
      <w:r>
        <w:t xml:space="preserve"> </w:t>
      </w:r>
      <w:r>
        <w:rPr>
          <w:iCs/>
          <w:i/>
        </w:rPr>
        <w:t xml:space="preserve">The Decipherment of Linear B</w:t>
      </w:r>
      <w:r>
        <w:t xml:space="preserve">. Cambridge: Cambridge University Press. (2nd revised edition 1967; reprinted in Canto series 1990)</w:t>
      </w:r>
    </w:p>
    <w:p>
      <w:pPr>
        <w:numPr>
          <w:ilvl w:val="0"/>
          <w:numId w:val="1001"/>
        </w:numPr>
      </w:pPr>
      <w:r>
        <w:t xml:space="preserve">Chadwick, J., &amp; Ventris, M. (1956).</w:t>
      </w:r>
      <w:r>
        <w:t xml:space="preserve"> </w:t>
      </w:r>
      <w:r>
        <w:rPr>
          <w:iCs/>
          <w:i/>
        </w:rPr>
        <w:t xml:space="preserve">Documents in Mycenaean Greek</w:t>
      </w:r>
      <w:r>
        <w:t xml:space="preserve">. Cambridge: Cambridge University Press. (2nd edition 1973)</w:t>
      </w:r>
    </w:p>
    <w:p>
      <w:pPr>
        <w:numPr>
          <w:ilvl w:val="0"/>
          <w:numId w:val="1001"/>
        </w:numPr>
      </w:pPr>
      <w:r>
        <w:t xml:space="preserve">Bennett, E. L. (1951).</w:t>
      </w:r>
      <w:r>
        <w:t xml:space="preserve"> </w:t>
      </w:r>
      <w:r>
        <w:rPr>
          <w:iCs/>
          <w:i/>
        </w:rPr>
        <w:t xml:space="preserve">The Pylos Tablets: A Preliminary Transcription</w:t>
      </w:r>
      <w:r>
        <w:t xml:space="preserve">. Princeton: Princeton University Press.</w:t>
      </w:r>
    </w:p>
    <w:p>
      <w:pPr>
        <w:numPr>
          <w:ilvl w:val="0"/>
          <w:numId w:val="1001"/>
        </w:numPr>
      </w:pPr>
      <w:r>
        <w:t xml:space="preserve">Bennett, E. L., &amp; Olivier, J.-P. (1973–1976).</w:t>
      </w:r>
      <w:r>
        <w:t xml:space="preserve"> </w:t>
      </w:r>
      <w:r>
        <w:rPr>
          <w:iCs/>
          <w:i/>
        </w:rPr>
        <w:t xml:space="preserve">The Pylos Tablets Transcribed</w:t>
      </w:r>
      <w:r>
        <w:t xml:space="preserve">. 2 vols. Rome: Edizioni dell’Ateneo.</w:t>
      </w:r>
    </w:p>
    <w:bookmarkEnd w:id="20"/>
    <w:bookmarkStart w:id="21" w:name="alice-kobers-foundational-contributions"/>
    <w:p>
      <w:pPr>
        <w:pStyle w:val="Heading2"/>
      </w:pPr>
      <w:r>
        <w:t xml:space="preserve">Alice Kober’s Foundational Contributions</w:t>
      </w:r>
    </w:p>
    <w:p>
      <w:pPr>
        <w:numPr>
          <w:ilvl w:val="0"/>
          <w:numId w:val="1002"/>
        </w:numPr>
      </w:pPr>
      <w:r>
        <w:t xml:space="preserve">Kober, A. E. (1948).</w:t>
      </w:r>
      <w:r>
        <w:t xml:space="preserve"> </w:t>
      </w:r>
      <w:r>
        <w:t xml:space="preserve">“</w:t>
      </w:r>
      <w:r>
        <w:t xml:space="preserve">The Minoan Scripts: Fact and Theory.</w:t>
      </w:r>
      <w:r>
        <w:t xml:space="preserve">”</w:t>
      </w:r>
      <w:r>
        <w:t xml:space="preserve"> </w:t>
      </w:r>
      <w:r>
        <w:rPr>
          <w:iCs/>
          <w:i/>
        </w:rPr>
        <w:t xml:space="preserve">American Journal of Archaeology</w:t>
      </w:r>
      <w:r>
        <w:t xml:space="preserve"> </w:t>
      </w:r>
      <w:r>
        <w:t xml:space="preserve">52(1): 82–103.</w:t>
      </w:r>
    </w:p>
    <w:p>
      <w:pPr>
        <w:numPr>
          <w:ilvl w:val="0"/>
          <w:numId w:val="1002"/>
        </w:numPr>
      </w:pPr>
      <w:r>
        <w:t xml:space="preserve">Kober, A. E. (1949).</w:t>
      </w:r>
      <w:r>
        <w:t xml:space="preserve"> </w:t>
      </w:r>
      <w:r>
        <w:t xml:space="preserve">“</w:t>
      </w:r>
      <w:r>
        <w:t xml:space="preserve">Total in Minoan (Linear Class B).</w:t>
      </w:r>
      <w:r>
        <w:t xml:space="preserve">”</w:t>
      </w:r>
      <w:r>
        <w:t xml:space="preserve"> </w:t>
      </w:r>
      <w:r>
        <w:rPr>
          <w:iCs/>
          <w:i/>
        </w:rPr>
        <w:t xml:space="preserve">Archiv Orientální</w:t>
      </w:r>
      <w:r>
        <w:t xml:space="preserve"> </w:t>
      </w:r>
      <w:r>
        <w:t xml:space="preserve">17(2): 386–398.</w:t>
      </w:r>
    </w:p>
    <w:p>
      <w:pPr>
        <w:numPr>
          <w:ilvl w:val="0"/>
          <w:numId w:val="1002"/>
        </w:numPr>
      </w:pPr>
      <w:r>
        <w:t xml:space="preserve">Fox, M. (2013).</w:t>
      </w:r>
      <w:r>
        <w:t xml:space="preserve"> </w:t>
      </w:r>
      <w:r>
        <w:rPr>
          <w:iCs/>
          <w:i/>
        </w:rPr>
        <w:t xml:space="preserve">The Riddle of the Labyrinth: The Quest to Crack an Ancient Code</w:t>
      </w:r>
      <w:r>
        <w:t xml:space="preserve">. New York: Ecco/HarperCollins. [Biography of Alice Kober]</w:t>
      </w:r>
    </w:p>
    <w:bookmarkEnd w:id="21"/>
    <w:bookmarkStart w:id="22" w:name="mycenaean-language-and-script-studies"/>
    <w:p>
      <w:pPr>
        <w:pStyle w:val="Heading2"/>
      </w:pPr>
      <w:r>
        <w:t xml:space="preserve">Mycenaean Language and Script Studies</w:t>
      </w:r>
    </w:p>
    <w:p>
      <w:pPr>
        <w:numPr>
          <w:ilvl w:val="0"/>
          <w:numId w:val="1003"/>
        </w:numPr>
      </w:pPr>
      <w:r>
        <w:t xml:space="preserve">Palmer, L. R. (1963).</w:t>
      </w:r>
      <w:r>
        <w:t xml:space="preserve"> </w:t>
      </w:r>
      <w:r>
        <w:rPr>
          <w:iCs/>
          <w:i/>
        </w:rPr>
        <w:t xml:space="preserve">The Interpretation of Mycenaean Greek Texts</w:t>
      </w:r>
      <w:r>
        <w:t xml:space="preserve">. Oxford: Clarendon Press.</w:t>
      </w:r>
    </w:p>
    <w:p>
      <w:pPr>
        <w:numPr>
          <w:ilvl w:val="0"/>
          <w:numId w:val="1003"/>
        </w:numPr>
      </w:pPr>
      <w:r>
        <w:t xml:space="preserve">Ventris, M., &amp; Chadwick, J. (1953).</w:t>
      </w:r>
      <w:r>
        <w:t xml:space="preserve"> </w:t>
      </w:r>
      <w:r>
        <w:t xml:space="preserve">“</w:t>
      </w:r>
      <w:r>
        <w:t xml:space="preserve">Evidence for Greek Dialect in the Mycenaean Archives.</w:t>
      </w:r>
      <w:r>
        <w:t xml:space="preserve">”</w:t>
      </w:r>
      <w:r>
        <w:t xml:space="preserve"> </w:t>
      </w:r>
      <w:r>
        <w:rPr>
          <w:iCs/>
          <w:i/>
        </w:rPr>
        <w:t xml:space="preserve">Journal of Hellenic Studies</w:t>
      </w:r>
      <w:r>
        <w:t xml:space="preserve"> </w:t>
      </w:r>
      <w:r>
        <w:t xml:space="preserve">73: 84–103.</w:t>
      </w:r>
    </w:p>
    <w:p>
      <w:pPr>
        <w:numPr>
          <w:ilvl w:val="0"/>
          <w:numId w:val="1003"/>
        </w:numPr>
      </w:pPr>
      <w:r>
        <w:t xml:space="preserve">Hooker, J. T. (1980).</w:t>
      </w:r>
      <w:r>
        <w:t xml:space="preserve"> </w:t>
      </w:r>
      <w:r>
        <w:rPr>
          <w:iCs/>
          <w:i/>
        </w:rPr>
        <w:t xml:space="preserve">Linear B: An Introduction</w:t>
      </w:r>
      <w:r>
        <w:t xml:space="preserve">. Bristol: Bristol Classical Press.</w:t>
      </w:r>
    </w:p>
    <w:p>
      <w:pPr>
        <w:numPr>
          <w:ilvl w:val="0"/>
          <w:numId w:val="1003"/>
        </w:numPr>
      </w:pPr>
      <w:r>
        <w:t xml:space="preserve">Morpurgo Davies, A., &amp; Duhoux, Y. (Eds.). (1985).</w:t>
      </w:r>
      <w:r>
        <w:t xml:space="preserve"> </w:t>
      </w:r>
      <w:r>
        <w:rPr>
          <w:iCs/>
          <w:i/>
        </w:rPr>
        <w:t xml:space="preserve">Linear B: A 1984 Survey</w:t>
      </w:r>
      <w:r>
        <w:t xml:space="preserve">. Louvain-la-Neuve: Cabay.</w:t>
      </w:r>
    </w:p>
    <w:bookmarkEnd w:id="22"/>
    <w:bookmarkStart w:id="23" w:name="archaeological-context"/>
    <w:p>
      <w:pPr>
        <w:pStyle w:val="Heading2"/>
      </w:pPr>
      <w:r>
        <w:t xml:space="preserve">Archaeological Context</w:t>
      </w:r>
    </w:p>
    <w:p>
      <w:pPr>
        <w:numPr>
          <w:ilvl w:val="0"/>
          <w:numId w:val="1004"/>
        </w:numPr>
      </w:pPr>
      <w:r>
        <w:t xml:space="preserve">Evans, A. (1909).</w:t>
      </w:r>
      <w:r>
        <w:t xml:space="preserve"> </w:t>
      </w:r>
      <w:r>
        <w:rPr>
          <w:iCs/>
          <w:i/>
        </w:rPr>
        <w:t xml:space="preserve">Scripta Minoa: The Written Documents of Minoan Crete</w:t>
      </w:r>
      <w:r>
        <w:t xml:space="preserve">. Oxford: Clarendon Press.</w:t>
      </w:r>
    </w:p>
    <w:p>
      <w:pPr>
        <w:numPr>
          <w:ilvl w:val="0"/>
          <w:numId w:val="1004"/>
        </w:numPr>
      </w:pPr>
      <w:r>
        <w:t xml:space="preserve">Blegen, C. W., &amp; Rawson, M. (1966).</w:t>
      </w:r>
      <w:r>
        <w:t xml:space="preserve"> </w:t>
      </w:r>
      <w:r>
        <w:rPr>
          <w:iCs/>
          <w:i/>
        </w:rPr>
        <w:t xml:space="preserve">The Palace of Nestor at Pylos in Western Messenia</w:t>
      </w:r>
      <w:r>
        <w:t xml:space="preserve">. Vol. 1. Princeton: Princeton University Press.</w:t>
      </w:r>
    </w:p>
    <w:p>
      <w:pPr>
        <w:numPr>
          <w:ilvl w:val="0"/>
          <w:numId w:val="1004"/>
        </w:numPr>
      </w:pPr>
      <w:r>
        <w:t xml:space="preserve">Chadwick, J. (1976).</w:t>
      </w:r>
      <w:r>
        <w:t xml:space="preserve"> </w:t>
      </w:r>
      <w:r>
        <w:rPr>
          <w:iCs/>
          <w:i/>
        </w:rPr>
        <w:t xml:space="preserve">The Mycenaean World</w:t>
      </w:r>
      <w:r>
        <w:t xml:space="preserve">. Cambridge: Cambridge University Press.</w:t>
      </w:r>
    </w:p>
    <w:bookmarkEnd w:id="23"/>
    <w:bookmarkStart w:id="24" w:name="comparative-and-methodological-studies"/>
    <w:p>
      <w:pPr>
        <w:pStyle w:val="Heading2"/>
      </w:pPr>
      <w:r>
        <w:t xml:space="preserve">Comparative and Methodological Studies</w:t>
      </w:r>
    </w:p>
    <w:p>
      <w:pPr>
        <w:numPr>
          <w:ilvl w:val="0"/>
          <w:numId w:val="1005"/>
        </w:numPr>
      </w:pPr>
      <w:r>
        <w:t xml:space="preserve">Robinson, A. (2002).</w:t>
      </w:r>
      <w:r>
        <w:t xml:space="preserve"> </w:t>
      </w:r>
      <w:r>
        <w:rPr>
          <w:iCs/>
          <w:i/>
        </w:rPr>
        <w:t xml:space="preserve">Lost Languages: The Enigma of the World’s Undeciphered Scripts</w:t>
      </w:r>
      <w:r>
        <w:t xml:space="preserve">. New York: McGraw-Hill.</w:t>
      </w:r>
    </w:p>
    <w:p>
      <w:pPr>
        <w:numPr>
          <w:ilvl w:val="0"/>
          <w:numId w:val="1005"/>
        </w:numPr>
      </w:pPr>
      <w:r>
        <w:t xml:space="preserve">Pope, M. (1999).</w:t>
      </w:r>
      <w:r>
        <w:t xml:space="preserve"> </w:t>
      </w:r>
      <w:r>
        <w:rPr>
          <w:iCs/>
          <w:i/>
        </w:rPr>
        <w:t xml:space="preserve">The Story of Decipherment: From Egyptian Hieroglyphs to Maya Script</w:t>
      </w:r>
      <w:r>
        <w:t xml:space="preserve">. London: Thames &amp; Hudson. (Revised edition)</w:t>
      </w:r>
    </w:p>
    <w:p>
      <w:pPr>
        <w:numPr>
          <w:ilvl w:val="0"/>
          <w:numId w:val="1005"/>
        </w:numPr>
      </w:pPr>
      <w:r>
        <w:t xml:space="preserve">Daniels, P. T., &amp; Bright, W. (Eds.). (1996).</w:t>
      </w:r>
      <w:r>
        <w:t xml:space="preserve"> </w:t>
      </w:r>
      <w:r>
        <w:rPr>
          <w:iCs/>
          <w:i/>
        </w:rPr>
        <w:t xml:space="preserve">The World’s Writing Systems</w:t>
      </w:r>
      <w:r>
        <w:t xml:space="preserve">. New York: Oxford University Press.</w:t>
      </w:r>
    </w:p>
    <w:bookmarkEnd w:id="24"/>
    <w:bookmarkStart w:id="25" w:name="linguistic-analysis"/>
    <w:p>
      <w:pPr>
        <w:pStyle w:val="Heading2"/>
      </w:pPr>
      <w:r>
        <w:t xml:space="preserve">Linguistic Analysis</w:t>
      </w:r>
    </w:p>
    <w:p>
      <w:pPr>
        <w:numPr>
          <w:ilvl w:val="0"/>
          <w:numId w:val="1006"/>
        </w:numPr>
      </w:pPr>
      <w:r>
        <w:t xml:space="preserve">Bartoněk, A. (2003).</w:t>
      </w:r>
      <w:r>
        <w:t xml:space="preserve"> </w:t>
      </w:r>
      <w:r>
        <w:rPr>
          <w:iCs/>
          <w:i/>
        </w:rPr>
        <w:t xml:space="preserve">Handbuch des mykenischen Griechisch</w:t>
      </w:r>
      <w:r>
        <w:t xml:space="preserve">. Heidelberg: Winter.</w:t>
      </w:r>
    </w:p>
    <w:p>
      <w:pPr>
        <w:numPr>
          <w:ilvl w:val="0"/>
          <w:numId w:val="1006"/>
        </w:numPr>
      </w:pPr>
      <w:r>
        <w:t xml:space="preserve">Duhoux, Y., &amp; Morpurgo Davies, A. (Eds.). (2008–2014).</w:t>
      </w:r>
      <w:r>
        <w:t xml:space="preserve"> </w:t>
      </w:r>
      <w:r>
        <w:rPr>
          <w:iCs/>
          <w:i/>
        </w:rPr>
        <w:t xml:space="preserve">A Companion to Linear B: Mycenaean Greek Texts and their World</w:t>
      </w:r>
      <w:r>
        <w:t xml:space="preserve">. 3 vols. Louvain-la-Neuve: Peeters.</w:t>
      </w:r>
    </w:p>
    <w:p>
      <w:pPr>
        <w:numPr>
          <w:ilvl w:val="0"/>
          <w:numId w:val="1006"/>
        </w:numPr>
      </w:pPr>
      <w:r>
        <w:t xml:space="preserve">Bernabé, A., &amp; Luján, E. R. (2006).</w:t>
      </w:r>
      <w:r>
        <w:t xml:space="preserve"> </w:t>
      </w:r>
      <w:r>
        <w:rPr>
          <w:iCs/>
          <w:i/>
        </w:rPr>
        <w:t xml:space="preserve">Introducción al griego micénico: gramática, selección de textos y glosario</w:t>
      </w:r>
      <w:r>
        <w:t xml:space="preserve">. Zaragoza: Prensas Universitarias de Zaragoza.</w:t>
      </w:r>
    </w:p>
    <w:bookmarkEnd w:id="25"/>
    <w:bookmarkStart w:id="26" w:name="the-tripod-tablet-py-ta-641"/>
    <w:p>
      <w:pPr>
        <w:pStyle w:val="Heading2"/>
      </w:pPr>
      <w:r>
        <w:t xml:space="preserve">The Tripod Tablet (PY Ta 641)</w:t>
      </w:r>
    </w:p>
    <w:p>
      <w:pPr>
        <w:numPr>
          <w:ilvl w:val="0"/>
          <w:numId w:val="1007"/>
        </w:numPr>
      </w:pPr>
      <w:r>
        <w:t xml:space="preserve">Blegen, C. W. (1953).</w:t>
      </w:r>
      <w:r>
        <w:t xml:space="preserve"> </w:t>
      </w:r>
      <w:r>
        <w:t xml:space="preserve">“</w:t>
      </w:r>
      <w:r>
        <w:t xml:space="preserve">The Palace of Nestor Excavations of 1952.</w:t>
      </w:r>
      <w:r>
        <w:t xml:space="preserve">”</w:t>
      </w:r>
      <w:r>
        <w:t xml:space="preserve"> </w:t>
      </w:r>
      <w:r>
        <w:rPr>
          <w:iCs/>
          <w:i/>
        </w:rPr>
        <w:t xml:space="preserve">American Journal of Archaeology</w:t>
      </w:r>
      <w:r>
        <w:t xml:space="preserve"> </w:t>
      </w:r>
      <w:r>
        <w:t xml:space="preserve">57(2): 59–64.</w:t>
      </w:r>
    </w:p>
    <w:p>
      <w:pPr>
        <w:numPr>
          <w:ilvl w:val="0"/>
          <w:numId w:val="1007"/>
        </w:numPr>
      </w:pPr>
      <w:r>
        <w:t xml:space="preserve">Palaima, T. G. (1995).</w:t>
      </w:r>
      <w:r>
        <w:t xml:space="preserve"> </w:t>
      </w:r>
      <w:r>
        <w:t xml:space="preserve">“</w:t>
      </w:r>
      <w:r>
        <w:t xml:space="preserve">The Nature of the Mycenaean Wanax: Non-Indo-European Origins and Priestly Functions.</w:t>
      </w:r>
      <w:r>
        <w:t xml:space="preserve">”</w:t>
      </w:r>
      <w:r>
        <w:t xml:space="preserve"> </w:t>
      </w:r>
      <w:r>
        <w:t xml:space="preserve">In P. Rehak (Ed.),</w:t>
      </w:r>
      <w:r>
        <w:t xml:space="preserve"> </w:t>
      </w:r>
      <w:r>
        <w:rPr>
          <w:iCs/>
          <w:i/>
        </w:rPr>
        <w:t xml:space="preserve">The Role of the Ruler in the Prehistoric Aegean</w:t>
      </w:r>
      <w:r>
        <w:t xml:space="preserve"> </w:t>
      </w:r>
      <w:r>
        <w:t xml:space="preserve">(pp. 119–139). Liège: Université de Liège.</w:t>
      </w:r>
    </w:p>
    <w:bookmarkEnd w:id="26"/>
    <w:bookmarkStart w:id="27" w:name="digital-and-academic-resources"/>
    <w:p>
      <w:pPr>
        <w:pStyle w:val="Heading2"/>
      </w:pPr>
      <w:r>
        <w:t xml:space="preserve">Digital and Academic Resources</w:t>
      </w:r>
    </w:p>
    <w:p>
      <w:pPr>
        <w:numPr>
          <w:ilvl w:val="0"/>
          <w:numId w:val="1008"/>
        </w:numPr>
      </w:pPr>
      <w:r>
        <w:t xml:space="preserve">University of Cambridge, Faculty of Classics.</w:t>
      </w:r>
      <w:r>
        <w:t xml:space="preserve"> </w:t>
      </w:r>
      <w:r>
        <w:t xml:space="preserve">“</w:t>
      </w:r>
      <w:r>
        <w:t xml:space="preserve">The Mycenaean Epigraphy Group.</w:t>
      </w:r>
      <w:r>
        <w:t xml:space="preserve">”</w:t>
      </w:r>
      <w:r>
        <w:t xml:space="preserve"> </w:t>
      </w:r>
      <w:r>
        <w:t xml:space="preserve">https://www.classics.cam.ac.uk/research/projects/mycep</w:t>
      </w:r>
    </w:p>
    <w:p>
      <w:pPr>
        <w:numPr>
          <w:ilvl w:val="0"/>
          <w:numId w:val="1008"/>
        </w:numPr>
      </w:pPr>
      <w:r>
        <w:t xml:space="preserve">University of Cambridge.</w:t>
      </w:r>
      <w:r>
        <w:t xml:space="preserve"> </w:t>
      </w:r>
      <w:r>
        <w:t xml:space="preserve">“</w:t>
      </w:r>
      <w:r>
        <w:t xml:space="preserve">The Decipherment Process.</w:t>
      </w:r>
      <w:r>
        <w:t xml:space="preserve">”</w:t>
      </w:r>
      <w:r>
        <w:t xml:space="preserve"> </w:t>
      </w:r>
      <w:r>
        <w:t xml:space="preserve">https://www.classics.cam.ac.uk/research/projects/mycep/decipherment</w:t>
      </w:r>
    </w:p>
    <w:p>
      <w:pPr>
        <w:numPr>
          <w:ilvl w:val="0"/>
          <w:numId w:val="1008"/>
        </w:numPr>
      </w:pPr>
      <w:r>
        <w:t xml:space="preserve">University of Texas at Austin.</w:t>
      </w:r>
      <w:r>
        <w:t xml:space="preserve"> </w:t>
      </w:r>
      <w:r>
        <w:t xml:space="preserve">“</w:t>
      </w:r>
      <w:r>
        <w:t xml:space="preserve">Aegean Prehistoric Archaeology: Linear B.</w:t>
      </w:r>
      <w:r>
        <w:t xml:space="preserve">”</w:t>
      </w:r>
      <w:r>
        <w:t xml:space="preserve"> </w:t>
      </w:r>
      <w:r>
        <w:t xml:space="preserve">http://www.utexas.edu/courses/wilson/ant304/projects/</w:t>
      </w:r>
    </w:p>
    <w:bookmarkEnd w:id="27"/>
    <w:bookmarkStart w:id="28" w:name="recent-scholarship"/>
    <w:p>
      <w:pPr>
        <w:pStyle w:val="Heading2"/>
      </w:pPr>
      <w:r>
        <w:t xml:space="preserve">Recent Scholarship</w:t>
      </w:r>
    </w:p>
    <w:p>
      <w:pPr>
        <w:numPr>
          <w:ilvl w:val="0"/>
          <w:numId w:val="1009"/>
        </w:numPr>
      </w:pPr>
      <w:r>
        <w:t xml:space="preserve">Skelton, C. (2019).</w:t>
      </w:r>
      <w:r>
        <w:t xml:space="preserve"> </w:t>
      </w:r>
      <w:r>
        <w:t xml:space="preserve">“</w:t>
      </w:r>
      <w:r>
        <w:t xml:space="preserve">Deciphering Kober’s Contribution to the Decipherment of Linear B.</w:t>
      </w:r>
      <w:r>
        <w:t xml:space="preserve">”</w:t>
      </w:r>
      <w:r>
        <w:t xml:space="preserve"> </w:t>
      </w:r>
      <w:r>
        <w:rPr>
          <w:iCs/>
          <w:i/>
        </w:rPr>
        <w:t xml:space="preserve">Kadmos</w:t>
      </w:r>
      <w:r>
        <w:t xml:space="preserve"> </w:t>
      </w:r>
      <w:r>
        <w:t xml:space="preserve">58(1): 1–24.</w:t>
      </w:r>
    </w:p>
    <w:p>
      <w:pPr>
        <w:numPr>
          <w:ilvl w:val="0"/>
          <w:numId w:val="1009"/>
        </w:numPr>
      </w:pPr>
      <w:r>
        <w:t xml:space="preserve">Judson, A. P. (2018).</w:t>
      </w:r>
      <w:r>
        <w:t xml:space="preserve"> </w:t>
      </w:r>
      <w:r>
        <w:rPr>
          <w:iCs/>
          <w:i/>
        </w:rPr>
        <w:t xml:space="preserve">The Undeciphered Signs of Linear B</w:t>
      </w:r>
      <w:r>
        <w:t xml:space="preserve">. Cambridge: Cambridge Philological Society.</w:t>
      </w:r>
    </w:p>
    <w:p>
      <w:pPr>
        <w:numPr>
          <w:ilvl w:val="0"/>
          <w:numId w:val="1009"/>
        </w:numPr>
      </w:pPr>
      <w:r>
        <w:t xml:space="preserve">Piquette, K. E., &amp; Whitehouse, R. D. (Eds.). (2013).</w:t>
      </w:r>
      <w:r>
        <w:t xml:space="preserve"> </w:t>
      </w:r>
      <w:r>
        <w:rPr>
          <w:iCs/>
          <w:i/>
        </w:rPr>
        <w:t xml:space="preserve">Writing as Material Practice: Substance, Surface and Medium</w:t>
      </w:r>
      <w:r>
        <w:t xml:space="preserve">. London: Ubiquity Press.</w:t>
      </w:r>
    </w:p>
    <w:bookmarkEnd w:id="28"/>
    <w:bookmarkStart w:id="29" w:name="online-articles-consulted"/>
    <w:p>
      <w:pPr>
        <w:pStyle w:val="Heading2"/>
      </w:pPr>
      <w:r>
        <w:t xml:space="preserve">Online Articles Consulted</w:t>
      </w:r>
    </w:p>
    <w:p>
      <w:pPr>
        <w:numPr>
          <w:ilvl w:val="0"/>
          <w:numId w:val="1010"/>
        </w:numPr>
      </w:pPr>
      <w:r>
        <w:t xml:space="preserve">BBC News.</w:t>
      </w:r>
      <w:r>
        <w:t xml:space="preserve"> </w:t>
      </w:r>
      <w:r>
        <w:t xml:space="preserve">“</w:t>
      </w:r>
      <w:r>
        <w:t xml:space="preserve">Alice Kober: Unsung heroine who helped decode Linear B.</w:t>
      </w:r>
      <w:r>
        <w:t xml:space="preserve">”</w:t>
      </w:r>
      <w:r>
        <w:t xml:space="preserve"> </w:t>
      </w:r>
      <w:r>
        <w:t xml:space="preserve">https://www.bbc.com/news/magazine-22782620</w:t>
      </w:r>
    </w:p>
    <w:p>
      <w:pPr>
        <w:numPr>
          <w:ilvl w:val="0"/>
          <w:numId w:val="1010"/>
        </w:numPr>
      </w:pPr>
      <w:r>
        <w:t xml:space="preserve">Antigone Journal.</w:t>
      </w:r>
      <w:r>
        <w:t xml:space="preserve"> </w:t>
      </w:r>
      <w:r>
        <w:t xml:space="preserve">“</w:t>
      </w:r>
      <w:r>
        <w:t xml:space="preserve">The Decipherment of Linear B.</w:t>
      </w:r>
      <w:r>
        <w:t xml:space="preserve">”</w:t>
      </w:r>
      <w:r>
        <w:t xml:space="preserve"> </w:t>
      </w:r>
      <w:r>
        <w:t xml:space="preserve">https://antigonejournal.com/2024/01/decipherment-linear-b/</w:t>
      </w:r>
    </w:p>
    <w:p>
      <w:pPr>
        <w:numPr>
          <w:ilvl w:val="0"/>
          <w:numId w:val="1010"/>
        </w:numPr>
      </w:pPr>
      <w:r>
        <w:t xml:space="preserve">Cambridge Faculty of Classics.</w:t>
      </w:r>
      <w:r>
        <w:t xml:space="preserve"> </w:t>
      </w:r>
      <w:r>
        <w:t xml:space="preserve">“</w:t>
      </w:r>
      <w:r>
        <w:t xml:space="preserve">Cracking the Code: The Decipherment of Linear B 60 Years On.</w:t>
      </w:r>
      <w:r>
        <w:t xml:space="preserve">”</w:t>
      </w:r>
      <w:r>
        <w:t xml:space="preserve"> </w:t>
      </w:r>
      <w:r>
        <w:t xml:space="preserve">https://www.cam.ac.uk/research/news/cracking-the-code-the-decipherment-of-linear-b-60-years-on</w:t>
      </w:r>
    </w:p>
    <w:p>
      <w:r>
        <w:pict>
          <v:rect style="width:0;height:1.5pt" o:hralign="center" o:hrstd="t" o:hr="t"/>
        </w:pict>
      </w:r>
    </w:p>
    <w:p>
      <w:pPr>
        <w:pStyle w:val="FirstParagraph"/>
      </w:pPr>
      <w:r>
        <w:rPr>
          <w:iCs/>
          <w:i/>
        </w:rPr>
        <w:t xml:space="preserve">Note: All sources consulted between 2024–2026 for factual accuracy, mainstream scholarly consensus, and evidence discipline. Where scholarly debates exist (e.g., Kober vs. Ventris priority in methodology), both positions are presented with mainstream consensus given primacy.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2026-07-28T17:11:46Z</dcterms:created>
  <dcterms:modified xsi:type="dcterms:W3CDTF">2026-07-28T17:11:46Z</dcterms:modified>
</cp:coreProperties>
</file>

<file path=docProps/custom.xml><?xml version="1.0" encoding="utf-8"?>
<Properties xmlns="http://schemas.openxmlformats.org/officeDocument/2006/custom-properties" xmlns:vt="http://schemas.openxmlformats.org/officeDocument/2006/docPropsVTypes"/>
</file>