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ncient-music-reconstruction-sources"/>
    <w:p>
      <w:pPr>
        <w:pStyle w:val="Heading1"/>
      </w:pPr>
      <w:r>
        <w:t xml:space="preserve">Ancient Music Reconstruction — Sources</w:t>
      </w:r>
    </w:p>
    <w:p>
      <w:pPr>
        <w:pStyle w:val="FirstParagraph"/>
      </w:pPr>
      <w:r>
        <w:t xml:space="preserve">This document lists the primary and secondary sources cited in the case study.</w:t>
      </w:r>
    </w:p>
    <w:p>
      <w:r>
        <w:pict>
          <v:rect style="width:0;height:1.5pt" o:hralign="center" o:hrstd="t" o:hr="t"/>
        </w:pict>
      </w:r>
    </w:p>
    <w:bookmarkStart w:id="20" w:name="primary-sources"/>
    <w:p>
      <w:pPr>
        <w:pStyle w:val="Heading2"/>
      </w:pPr>
      <w:r>
        <w:t xml:space="preserve">Primary Sources</w:t>
      </w:r>
    </w:p>
    <w:p>
      <w:pPr>
        <w:numPr>
          <w:ilvl w:val="0"/>
          <w:numId w:val="1001"/>
        </w:numPr>
        <w:pStyle w:val="Compact"/>
      </w:pPr>
      <w:r>
        <w:t xml:space="preserve">Aristoxenus.</w:t>
      </w:r>
      <w:r>
        <w:t xml:space="preserve"> </w:t>
      </w:r>
      <w:r>
        <w:rPr>
          <w:iCs/>
          <w:i/>
        </w:rPr>
        <w:t xml:space="preserve">Elementa Harmonica</w:t>
      </w:r>
      <w:r>
        <w:t xml:space="preserve"> </w:t>
      </w:r>
      <w:r>
        <w:t xml:space="preserve">(4th century BCE). Trans. Henry S. Macran. Oxford: Clarendon Press, 1902.</w:t>
      </w:r>
    </w:p>
    <w:p>
      <w:pPr>
        <w:numPr>
          <w:ilvl w:val="0"/>
          <w:numId w:val="1001"/>
        </w:numPr>
        <w:pStyle w:val="Compact"/>
      </w:pPr>
      <w:r>
        <w:t xml:space="preserve">Ptolemy, Claudius.</w:t>
      </w:r>
      <w:r>
        <w:t xml:space="preserve"> </w:t>
      </w:r>
      <w:r>
        <w:rPr>
          <w:iCs/>
          <w:i/>
        </w:rPr>
        <w:t xml:space="preserve">Harmonics</w:t>
      </w:r>
      <w:r>
        <w:t xml:space="preserve"> </w:t>
      </w:r>
      <w:r>
        <w:t xml:space="preserve">(2nd century CE). Trans. Jon Solomon. Leiden: Brill, 2000.</w:t>
      </w:r>
    </w:p>
    <w:p>
      <w:pPr>
        <w:numPr>
          <w:ilvl w:val="0"/>
          <w:numId w:val="1001"/>
        </w:numPr>
        <w:pStyle w:val="Compact"/>
      </w:pPr>
      <w:r>
        <w:t xml:space="preserve">Guido d’Arezzo.</w:t>
      </w:r>
      <w:r>
        <w:t xml:space="preserve"> </w:t>
      </w:r>
      <w:r>
        <w:rPr>
          <w:iCs/>
          <w:i/>
        </w:rPr>
        <w:t xml:space="preserve">Micrologus</w:t>
      </w:r>
      <w:r>
        <w:t xml:space="preserve"> </w:t>
      </w:r>
      <w:r>
        <w:t xml:space="preserve">(c. 1026). Trans. Warren Babb, in</w:t>
      </w:r>
      <w:r>
        <w:t xml:space="preserve"> </w:t>
      </w:r>
      <w:r>
        <w:rPr>
          <w:iCs/>
          <w:i/>
        </w:rPr>
        <w:t xml:space="preserve">Hucbald, Guido, and John on Music</w:t>
      </w:r>
      <w:r>
        <w:t xml:space="preserve">. New Haven: Yale University Press, 1978.</w:t>
      </w:r>
    </w:p>
    <w:p>
      <w:pPr>
        <w:numPr>
          <w:ilvl w:val="0"/>
          <w:numId w:val="1001"/>
        </w:numPr>
        <w:pStyle w:val="Compact"/>
      </w:pPr>
      <w:r>
        <w:t xml:space="preserve">Franco of Cologne.</w:t>
      </w:r>
      <w:r>
        <w:t xml:space="preserve"> </w:t>
      </w:r>
      <w:r>
        <w:rPr>
          <w:iCs/>
          <w:i/>
        </w:rPr>
        <w:t xml:space="preserve">Ars Cantus Mensurabilis</w:t>
      </w:r>
      <w:r>
        <w:t xml:space="preserve"> </w:t>
      </w:r>
      <w:r>
        <w:t xml:space="preserve">(c. 1280). Trans. in Strunk’s</w:t>
      </w:r>
      <w:r>
        <w:t xml:space="preserve"> </w:t>
      </w:r>
      <w:r>
        <w:rPr>
          <w:iCs/>
          <w:i/>
        </w:rPr>
        <w:t xml:space="preserve">Source Readings in Music History</w:t>
      </w:r>
      <w:r>
        <w:t xml:space="preserve">, vol. 2.</w:t>
      </w:r>
    </w:p>
    <w:p>
      <w:r>
        <w:pict>
          <v:rect style="width:0;height:1.5pt" o:hralign="center" o:hrstd="t" o:hr="t"/>
        </w:pict>
      </w:r>
    </w:p>
    <w:bookmarkEnd w:id="20"/>
    <w:bookmarkStart w:id="21" w:name="secondary-sources-general"/>
    <w:p>
      <w:pPr>
        <w:pStyle w:val="Heading2"/>
      </w:pPr>
      <w:r>
        <w:t xml:space="preserve">Secondary Sources — General</w:t>
      </w:r>
    </w:p>
    <w:p>
      <w:pPr>
        <w:numPr>
          <w:ilvl w:val="0"/>
          <w:numId w:val="1002"/>
        </w:numPr>
        <w:pStyle w:val="Compact"/>
      </w:pPr>
      <w:r>
        <w:t xml:space="preserve">Taruskin, Richard (1995).</w:t>
      </w:r>
      <w:r>
        <w:t xml:space="preserve"> </w:t>
      </w:r>
      <w:r>
        <w:rPr>
          <w:iCs/>
          <w:i/>
        </w:rPr>
        <w:t xml:space="preserve">Text and Act: Essays on Music and Performance</w:t>
      </w:r>
      <w:r>
        <w:t xml:space="preserve">. Oxford University Press.</w:t>
      </w:r>
    </w:p>
    <w:p>
      <w:pPr>
        <w:numPr>
          <w:ilvl w:val="1"/>
          <w:numId w:val="1003"/>
        </w:numPr>
        <w:pStyle w:val="Compact"/>
      </w:pPr>
      <w:r>
        <w:t xml:space="preserve">Key discussion of the distinction between recovering notation versus recovering performance.</w:t>
      </w:r>
    </w:p>
    <w:p>
      <w:pPr>
        <w:numPr>
          <w:ilvl w:val="0"/>
          <w:numId w:val="1002"/>
        </w:numPr>
        <w:pStyle w:val="Compact"/>
      </w:pPr>
      <w:r>
        <w:t xml:space="preserve">Treitler, Leo (1982).</w:t>
      </w:r>
      <w:r>
        <w:t xml:space="preserve"> </w:t>
      </w:r>
      <w:r>
        <w:t xml:space="preserve">“</w:t>
      </w:r>
      <w:r>
        <w:t xml:space="preserve">The Early History of Music Writing in the West.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the American Musicological Society</w:t>
      </w:r>
      <w:r>
        <w:t xml:space="preserve"> </w:t>
      </w:r>
      <w:r>
        <w:t xml:space="preserve">35(2): 237–279.</w:t>
      </w:r>
    </w:p>
    <w:p>
      <w:pPr>
        <w:numPr>
          <w:ilvl w:val="1"/>
          <w:numId w:val="1004"/>
        </w:numPr>
        <w:pStyle w:val="Compact"/>
      </w:pPr>
      <w:r>
        <w:t xml:space="preserve">Foundational analysis of early neumes and their limitations as complete performance instructions.</w:t>
      </w:r>
    </w:p>
    <w:p>
      <w:r>
        <w:pict>
          <v:rect style="width:0;height:1.5pt" o:hralign="center" o:hrstd="t" o:hr="t"/>
        </w:pict>
      </w:r>
    </w:p>
    <w:bookmarkEnd w:id="21"/>
    <w:bookmarkStart w:id="22" w:name="ancient-greek-music"/>
    <w:p>
      <w:pPr>
        <w:pStyle w:val="Heading2"/>
      </w:pPr>
      <w:r>
        <w:t xml:space="preserve">Ancient Greek Music</w:t>
      </w:r>
    </w:p>
    <w:p>
      <w:pPr>
        <w:numPr>
          <w:ilvl w:val="0"/>
          <w:numId w:val="1005"/>
        </w:numPr>
        <w:pStyle w:val="Compact"/>
      </w:pPr>
      <w:r>
        <w:t xml:space="preserve">West, M.L. (1992).</w:t>
      </w:r>
      <w:r>
        <w:t xml:space="preserve"> </w:t>
      </w:r>
      <w:r>
        <w:rPr>
          <w:iCs/>
          <w:i/>
        </w:rPr>
        <w:t xml:space="preserve">Ancient Greek Music</w:t>
      </w:r>
      <w:r>
        <w:t xml:space="preserve">. Oxford University Press.</w:t>
      </w:r>
    </w:p>
    <w:p>
      <w:pPr>
        <w:numPr>
          <w:ilvl w:val="1"/>
          <w:numId w:val="1006"/>
        </w:numPr>
        <w:pStyle w:val="Compact"/>
      </w:pPr>
      <w:r>
        <w:t xml:space="preserve">Standard scholarly overview of Greek notation, instruments, theory, and surviving fragments.</w:t>
      </w:r>
    </w:p>
    <w:p>
      <w:pPr>
        <w:numPr>
          <w:ilvl w:val="0"/>
          <w:numId w:val="1005"/>
        </w:numPr>
        <w:pStyle w:val="Compact"/>
      </w:pPr>
      <w:r>
        <w:t xml:space="preserve">Hagel, Stefan (2009).</w:t>
      </w:r>
      <w:r>
        <w:t xml:space="preserve"> </w:t>
      </w:r>
      <w:r>
        <w:rPr>
          <w:iCs/>
          <w:i/>
        </w:rPr>
        <w:t xml:space="preserve">Ancient Greek Music: A New Technical History</w:t>
      </w:r>
      <w:r>
        <w:t xml:space="preserve">. Cambridge University Press.</w:t>
      </w:r>
    </w:p>
    <w:p>
      <w:pPr>
        <w:numPr>
          <w:ilvl w:val="1"/>
          <w:numId w:val="1007"/>
        </w:numPr>
        <w:pStyle w:val="Compact"/>
      </w:pPr>
      <w:r>
        <w:t xml:space="preserve">Detailed technical analysis of Greek tuning systems, notation, and instrumental practice.</w:t>
      </w:r>
    </w:p>
    <w:p>
      <w:pPr>
        <w:numPr>
          <w:ilvl w:val="0"/>
          <w:numId w:val="1005"/>
        </w:numPr>
        <w:pStyle w:val="Compact"/>
      </w:pPr>
      <w:r>
        <w:t xml:space="preserve">Pöhlmann, Egert &amp; West, M.L. (2001).</w:t>
      </w:r>
      <w:r>
        <w:t xml:space="preserve"> </w:t>
      </w:r>
      <w:r>
        <w:rPr>
          <w:iCs/>
          <w:i/>
        </w:rPr>
        <w:t xml:space="preserve">Documents of Ancient Greek Music</w:t>
      </w:r>
      <w:r>
        <w:t xml:space="preserve">. Oxford University Press.</w:t>
      </w:r>
    </w:p>
    <w:p>
      <w:pPr>
        <w:numPr>
          <w:ilvl w:val="1"/>
          <w:numId w:val="1008"/>
        </w:numPr>
        <w:pStyle w:val="Compact"/>
      </w:pPr>
      <w:r>
        <w:t xml:space="preserve">Critical edition of all surviving Greek musical fragments with transcriptions and commentary.</w:t>
      </w:r>
    </w:p>
    <w:p>
      <w:pPr>
        <w:numPr>
          <w:ilvl w:val="0"/>
          <w:numId w:val="1005"/>
        </w:numPr>
        <w:pStyle w:val="Compact"/>
      </w:pPr>
      <w:r>
        <w:t xml:space="preserve">Mathiesen, Thomas J. (1999).</w:t>
      </w:r>
      <w:r>
        <w:t xml:space="preserve"> </w:t>
      </w:r>
      <w:r>
        <w:rPr>
          <w:iCs/>
          <w:i/>
        </w:rPr>
        <w:t xml:space="preserve">Apollo’s Lyre: Greek Music and Music Theory in Antiquity and the Middle Ages</w:t>
      </w:r>
      <w:r>
        <w:t xml:space="preserve">. Lincoln: University of Nebraska Press.</w:t>
      </w:r>
    </w:p>
    <w:p>
      <w:pPr>
        <w:numPr>
          <w:ilvl w:val="1"/>
          <w:numId w:val="1009"/>
        </w:numPr>
        <w:pStyle w:val="Compact"/>
      </w:pPr>
      <w:r>
        <w:t xml:space="preserve">Comprehensive treatment of Greek music theory and its medieval reception.</w:t>
      </w:r>
    </w:p>
    <w:p>
      <w:r>
        <w:pict>
          <v:rect style="width:0;height:1.5pt" o:hralign="center" o:hrstd="t" o:hr="t"/>
        </w:pict>
      </w:r>
    </w:p>
    <w:bookmarkEnd w:id="22"/>
    <w:bookmarkStart w:id="23" w:name="early-medieval-chant"/>
    <w:p>
      <w:pPr>
        <w:pStyle w:val="Heading2"/>
      </w:pPr>
      <w:r>
        <w:t xml:space="preserve">Early Medieval Chant</w:t>
      </w:r>
    </w:p>
    <w:p>
      <w:pPr>
        <w:numPr>
          <w:ilvl w:val="0"/>
          <w:numId w:val="1010"/>
        </w:numPr>
        <w:pStyle w:val="Compact"/>
      </w:pPr>
      <w:r>
        <w:t xml:space="preserve">Levy, Kenneth (1998).</w:t>
      </w:r>
      <w:r>
        <w:t xml:space="preserve"> </w:t>
      </w:r>
      <w:r>
        <w:rPr>
          <w:iCs/>
          <w:i/>
        </w:rPr>
        <w:t xml:space="preserve">Gregorian Chant and the Carolingians</w:t>
      </w:r>
      <w:r>
        <w:t xml:space="preserve">. Princeton University Press.</w:t>
      </w:r>
    </w:p>
    <w:p>
      <w:pPr>
        <w:numPr>
          <w:ilvl w:val="1"/>
          <w:numId w:val="1011"/>
        </w:numPr>
        <w:pStyle w:val="Compact"/>
      </w:pPr>
      <w:r>
        <w:t xml:space="preserve">Authoritative study of the formation and notation of Gregorian chant.</w:t>
      </w:r>
    </w:p>
    <w:p>
      <w:pPr>
        <w:numPr>
          <w:ilvl w:val="0"/>
          <w:numId w:val="1010"/>
        </w:numPr>
        <w:pStyle w:val="Compact"/>
      </w:pPr>
      <w:r>
        <w:t xml:space="preserve">Hucke, Helmut (1980).</w:t>
      </w:r>
      <w:r>
        <w:t xml:space="preserve"> </w:t>
      </w:r>
      <w:r>
        <w:t xml:space="preserve">“</w:t>
      </w:r>
      <w:r>
        <w:t xml:space="preserve">Toward a New Historical View of Gregorian Chant.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the American Musicological Society</w:t>
      </w:r>
      <w:r>
        <w:t xml:space="preserve"> </w:t>
      </w:r>
      <w:r>
        <w:t xml:space="preserve">33(3): 437–467.</w:t>
      </w:r>
    </w:p>
    <w:p>
      <w:pPr>
        <w:numPr>
          <w:ilvl w:val="1"/>
          <w:numId w:val="1012"/>
        </w:numPr>
        <w:pStyle w:val="Compact"/>
      </w:pPr>
      <w:r>
        <w:t xml:space="preserve">Critical reassessment of chant origins and the role of notation.</w:t>
      </w:r>
    </w:p>
    <w:p>
      <w:pPr>
        <w:numPr>
          <w:ilvl w:val="0"/>
          <w:numId w:val="1010"/>
        </w:numPr>
        <w:pStyle w:val="Compact"/>
      </w:pPr>
      <w:r>
        <w:t xml:space="preserve">Kelly, Thomas Forrest (2009).</w:t>
      </w:r>
      <w:r>
        <w:t xml:space="preserve"> </w:t>
      </w:r>
      <w:r>
        <w:rPr>
          <w:iCs/>
          <w:i/>
        </w:rPr>
        <w:t xml:space="preserve">The Exultet in Southern Italy</w:t>
      </w:r>
      <w:r>
        <w:t xml:space="preserve">. Oxford University Press.</w:t>
      </w:r>
    </w:p>
    <w:p>
      <w:pPr>
        <w:numPr>
          <w:ilvl w:val="1"/>
          <w:numId w:val="1013"/>
        </w:numPr>
        <w:pStyle w:val="Compact"/>
      </w:pPr>
      <w:r>
        <w:t xml:space="preserve">Case study of early notation and regional variants.</w:t>
      </w:r>
    </w:p>
    <w:p>
      <w:pPr>
        <w:numPr>
          <w:ilvl w:val="0"/>
          <w:numId w:val="1010"/>
        </w:numPr>
        <w:pStyle w:val="Compact"/>
      </w:pPr>
      <w:r>
        <w:t xml:space="preserve">Jeffery, Peter (1992).</w:t>
      </w:r>
      <w:r>
        <w:t xml:space="preserve"> </w:t>
      </w:r>
      <w:r>
        <w:rPr>
          <w:iCs/>
          <w:i/>
        </w:rPr>
        <w:t xml:space="preserve">Re-Envisioning Past Musical Cultures: Ethnomusicology in the Study of Gregorian Chant</w:t>
      </w:r>
      <w:r>
        <w:t xml:space="preserve">. Chicago: University of Chicago Press.</w:t>
      </w:r>
    </w:p>
    <w:p>
      <w:pPr>
        <w:numPr>
          <w:ilvl w:val="1"/>
          <w:numId w:val="1014"/>
        </w:numPr>
        <w:pStyle w:val="Compact"/>
      </w:pPr>
      <w:r>
        <w:t xml:space="preserve">Methodological discussion of reconstructing lost performance practice.</w:t>
      </w:r>
    </w:p>
    <w:p>
      <w:r>
        <w:pict>
          <v:rect style="width:0;height:1.5pt" o:hralign="center" o:hrstd="t" o:hr="t"/>
        </w:pict>
      </w:r>
    </w:p>
    <w:bookmarkEnd w:id="23"/>
    <w:bookmarkStart w:id="24" w:name="renaissance-polyphony"/>
    <w:p>
      <w:pPr>
        <w:pStyle w:val="Heading2"/>
      </w:pPr>
      <w:r>
        <w:t xml:space="preserve">Renaissance Polyphony</w:t>
      </w:r>
    </w:p>
    <w:p>
      <w:pPr>
        <w:numPr>
          <w:ilvl w:val="0"/>
          <w:numId w:val="1015"/>
        </w:numPr>
        <w:pStyle w:val="Compact"/>
      </w:pPr>
      <w:r>
        <w:t xml:space="preserve">Atlas, Allan W. (1998).</w:t>
      </w:r>
      <w:r>
        <w:t xml:space="preserve"> </w:t>
      </w:r>
      <w:r>
        <w:rPr>
          <w:iCs/>
          <w:i/>
        </w:rPr>
        <w:t xml:space="preserve">Renaissance Music: Music in Western Europe, 1400–1600</w:t>
      </w:r>
      <w:r>
        <w:t xml:space="preserve">. W.W. Norton.</w:t>
      </w:r>
    </w:p>
    <w:p>
      <w:pPr>
        <w:numPr>
          <w:ilvl w:val="1"/>
          <w:numId w:val="1016"/>
        </w:numPr>
        <w:pStyle w:val="Compact"/>
      </w:pPr>
      <w:r>
        <w:t xml:space="preserve">Standard textbook with detailed discussion of mensural notation and performance practice.</w:t>
      </w:r>
    </w:p>
    <w:p>
      <w:pPr>
        <w:numPr>
          <w:ilvl w:val="0"/>
          <w:numId w:val="1015"/>
        </w:numPr>
        <w:pStyle w:val="Compact"/>
      </w:pPr>
      <w:r>
        <w:t xml:space="preserve">Brown, Howard Mayer &amp; Sadie, Stanley, eds. (1989).</w:t>
      </w:r>
      <w:r>
        <w:t xml:space="preserve"> </w:t>
      </w:r>
      <w:r>
        <w:rPr>
          <w:iCs/>
          <w:i/>
        </w:rPr>
        <w:t xml:space="preserve">Performance Practice: Music Before 1600</w:t>
      </w:r>
      <w:r>
        <w:t xml:space="preserve">. W.W. Norton.</w:t>
      </w:r>
    </w:p>
    <w:p>
      <w:pPr>
        <w:numPr>
          <w:ilvl w:val="1"/>
          <w:numId w:val="1017"/>
        </w:numPr>
        <w:pStyle w:val="Compact"/>
      </w:pPr>
      <w:r>
        <w:t xml:space="preserve">Collection of essays on interpreting Renaissance notation.</w:t>
      </w:r>
    </w:p>
    <w:p>
      <w:pPr>
        <w:numPr>
          <w:ilvl w:val="0"/>
          <w:numId w:val="1015"/>
        </w:numPr>
        <w:pStyle w:val="Compact"/>
      </w:pPr>
      <w:r>
        <w:t xml:space="preserve">Taruskin, Richard (2005).</w:t>
      </w:r>
      <w:r>
        <w:t xml:space="preserve"> </w:t>
      </w:r>
      <w:r>
        <w:rPr>
          <w:iCs/>
          <w:i/>
        </w:rPr>
        <w:t xml:space="preserve">The Oxford History of Western Music</w:t>
      </w:r>
      <w:r>
        <w:t xml:space="preserve">, vol. 1:</w:t>
      </w:r>
      <w:r>
        <w:t xml:space="preserve"> </w:t>
      </w:r>
      <w:r>
        <w:rPr>
          <w:iCs/>
          <w:i/>
        </w:rPr>
        <w:t xml:space="preserve">The Earliest Notations to the Sixteenth Century</w:t>
      </w:r>
      <w:r>
        <w:t xml:space="preserve">. Oxford University Press.</w:t>
      </w:r>
    </w:p>
    <w:p>
      <w:pPr>
        <w:numPr>
          <w:ilvl w:val="1"/>
          <w:numId w:val="1018"/>
        </w:numPr>
        <w:pStyle w:val="Compact"/>
      </w:pPr>
      <w:r>
        <w:t xml:space="preserve">Comprehensive historical and interpretive overview.</w:t>
      </w:r>
    </w:p>
    <w:p>
      <w:pPr>
        <w:numPr>
          <w:ilvl w:val="0"/>
          <w:numId w:val="1015"/>
        </w:numPr>
        <w:pStyle w:val="Compact"/>
      </w:pPr>
      <w:r>
        <w:t xml:space="preserve">Bent, Margaret (2002).</w:t>
      </w:r>
      <w:r>
        <w:t xml:space="preserve"> </w:t>
      </w:r>
      <w:r>
        <w:rPr>
          <w:iCs/>
          <w:i/>
        </w:rPr>
        <w:t xml:space="preserve">Counterpoint, Composition, and Musica Ficta</w:t>
      </w:r>
      <w:r>
        <w:t xml:space="preserve">. Routledge.</w:t>
      </w:r>
    </w:p>
    <w:p>
      <w:pPr>
        <w:numPr>
          <w:ilvl w:val="1"/>
          <w:numId w:val="1019"/>
        </w:numPr>
        <w:pStyle w:val="Compact"/>
      </w:pPr>
      <w:r>
        <w:t xml:space="preserve">Technical discussion of what Renaissance notation encoded and what it left implicit.</w:t>
      </w:r>
    </w:p>
    <w:p>
      <w:r>
        <w:pict>
          <v:rect style="width:0;height:1.5pt" o:hralign="center" o:hrstd="t" o:hr="t"/>
        </w:pict>
      </w:r>
    </w:p>
    <w:bookmarkEnd w:id="24"/>
    <w:bookmarkStart w:id="25" w:name="performance-practice-and-reconstruction"/>
    <w:p>
      <w:pPr>
        <w:pStyle w:val="Heading2"/>
      </w:pPr>
      <w:r>
        <w:t xml:space="preserve">Performance Practice and Reconstruction</w:t>
      </w:r>
    </w:p>
    <w:p>
      <w:pPr>
        <w:numPr>
          <w:ilvl w:val="0"/>
          <w:numId w:val="1020"/>
        </w:numPr>
        <w:pStyle w:val="Compact"/>
      </w:pPr>
      <w:r>
        <w:t xml:space="preserve">Butt, John (2002).</w:t>
      </w:r>
      <w:r>
        <w:t xml:space="preserve"> </w:t>
      </w:r>
      <w:r>
        <w:rPr>
          <w:iCs/>
          <w:i/>
        </w:rPr>
        <w:t xml:space="preserve">Playing with History: The Historical Approach to Musical Performance</w:t>
      </w:r>
      <w:r>
        <w:t xml:space="preserve">. Cambridge University Press.</w:t>
      </w:r>
    </w:p>
    <w:p>
      <w:pPr>
        <w:numPr>
          <w:ilvl w:val="1"/>
          <w:numId w:val="1021"/>
        </w:numPr>
        <w:pStyle w:val="Compact"/>
      </w:pPr>
      <w:r>
        <w:t xml:space="preserve">Philosophical and practical discussion of historical performance as reconstruction, not restoration.</w:t>
      </w:r>
    </w:p>
    <w:p>
      <w:pPr>
        <w:numPr>
          <w:ilvl w:val="0"/>
          <w:numId w:val="1020"/>
        </w:numPr>
        <w:pStyle w:val="Compact"/>
      </w:pPr>
      <w:r>
        <w:t xml:space="preserve">Kenyon, Nicholas, ed. (1988).</w:t>
      </w:r>
      <w:r>
        <w:t xml:space="preserve"> </w:t>
      </w:r>
      <w:r>
        <w:rPr>
          <w:iCs/>
          <w:i/>
        </w:rPr>
        <w:t xml:space="preserve">Authenticity and Early Music</w:t>
      </w:r>
      <w:r>
        <w:t xml:space="preserve">. Oxford University Press.</w:t>
      </w:r>
    </w:p>
    <w:p>
      <w:pPr>
        <w:numPr>
          <w:ilvl w:val="1"/>
          <w:numId w:val="1022"/>
        </w:numPr>
        <w:pStyle w:val="Compact"/>
      </w:pPr>
      <w:r>
        <w:t xml:space="preserve">Collection of essays debating the concept of</w:t>
      </w:r>
      <w:r>
        <w:t xml:space="preserve"> </w:t>
      </w:r>
      <w:r>
        <w:t xml:space="preserve">“</w:t>
      </w:r>
      <w:r>
        <w:t xml:space="preserve">authentic</w:t>
      </w:r>
      <w:r>
        <w:t xml:space="preserve">”</w:t>
      </w:r>
      <w:r>
        <w:t xml:space="preserve"> </w:t>
      </w:r>
      <w:r>
        <w:t xml:space="preserve">performance and its limits.</w:t>
      </w:r>
    </w:p>
    <w:p>
      <w:pPr>
        <w:numPr>
          <w:ilvl w:val="0"/>
          <w:numId w:val="1020"/>
        </w:numPr>
        <w:pStyle w:val="Compact"/>
      </w:pPr>
      <w:r>
        <w:t xml:space="preserve">Haynes, Bruce (2007).</w:t>
      </w:r>
      <w:r>
        <w:t xml:space="preserve"> </w:t>
      </w:r>
      <w:r>
        <w:rPr>
          <w:iCs/>
          <w:i/>
        </w:rPr>
        <w:t xml:space="preserve">The End of Early Music: A Period Performer’s History of Music for the Twenty-First Century</w:t>
      </w:r>
      <w:r>
        <w:t xml:space="preserve">. Oxford University Press.</w:t>
      </w:r>
    </w:p>
    <w:p>
      <w:pPr>
        <w:numPr>
          <w:ilvl w:val="1"/>
          <w:numId w:val="1023"/>
        </w:numPr>
        <w:pStyle w:val="Compact"/>
      </w:pPr>
      <w:r>
        <w:t xml:space="preserve">Critical perspective on what early music performance can and cannot recover.</w:t>
      </w:r>
    </w:p>
    <w:p>
      <w:r>
        <w:pict>
          <v:rect style="width:0;height:1.5pt" o:hralign="center" o:hrstd="t" o:hr="t"/>
        </w:pict>
      </w:r>
    </w:p>
    <w:bookmarkEnd w:id="25"/>
    <w:bookmarkStart w:id="26" w:name="acoustics-and-context"/>
    <w:p>
      <w:pPr>
        <w:pStyle w:val="Heading2"/>
      </w:pPr>
      <w:r>
        <w:t xml:space="preserve">Acoustics and Context</w:t>
      </w:r>
    </w:p>
    <w:p>
      <w:pPr>
        <w:numPr>
          <w:ilvl w:val="0"/>
          <w:numId w:val="1024"/>
        </w:numPr>
        <w:pStyle w:val="Compact"/>
      </w:pPr>
      <w:r>
        <w:t xml:space="preserve">Watson, Ian (2017).</w:t>
      </w:r>
      <w:r>
        <w:t xml:space="preserve"> </w:t>
      </w:r>
      <w:r>
        <w:rPr>
          <w:iCs/>
          <w:i/>
        </w:rPr>
        <w:t xml:space="preserve">The Historical Harpsichord</w:t>
      </w:r>
      <w:r>
        <w:t xml:space="preserve">, vol. 4:</w:t>
      </w:r>
      <w:r>
        <w:t xml:space="preserve"> </w:t>
      </w:r>
      <w:r>
        <w:rPr>
          <w:iCs/>
          <w:i/>
        </w:rPr>
        <w:t xml:space="preserve">The Tuning of Musical Instruments</w:t>
      </w:r>
      <w:r>
        <w:t xml:space="preserve">. Cambridge: Cambridge University Press.</w:t>
      </w:r>
    </w:p>
    <w:p>
      <w:pPr>
        <w:numPr>
          <w:ilvl w:val="1"/>
          <w:numId w:val="1025"/>
        </w:numPr>
        <w:pStyle w:val="Compact"/>
      </w:pPr>
      <w:r>
        <w:t xml:space="preserve">Technical discussion of historical tuning systems and their reconstruction.</w:t>
      </w:r>
    </w:p>
    <w:p>
      <w:pPr>
        <w:numPr>
          <w:ilvl w:val="0"/>
          <w:numId w:val="1024"/>
        </w:numPr>
        <w:pStyle w:val="Compact"/>
      </w:pPr>
      <w:r>
        <w:t xml:space="preserve">Blesser, Barry &amp; Salter, Linda-Ruth (2007).</w:t>
      </w:r>
      <w:r>
        <w:t xml:space="preserve"> </w:t>
      </w:r>
      <w:r>
        <w:rPr>
          <w:iCs/>
          <w:i/>
        </w:rPr>
        <w:t xml:space="preserve">Spaces Speak, Are You Listening? Experiencing Aural Architecture</w:t>
      </w:r>
      <w:r>
        <w:t xml:space="preserve">. MIT Press.</w:t>
      </w:r>
    </w:p>
    <w:p>
      <w:pPr>
        <w:numPr>
          <w:ilvl w:val="1"/>
          <w:numId w:val="1026"/>
        </w:numPr>
        <w:pStyle w:val="Compact"/>
      </w:pPr>
      <w:r>
        <w:t xml:space="preserve">Analysis of how architectural acoustics shaped historical music and its modern interpretation.</w:t>
      </w:r>
    </w:p>
    <w:p>
      <w:r>
        <w:pict>
          <v:rect style="width:0;height:1.5pt" o:hralign="center" o:hrstd="t" o:hr="t"/>
        </w:pict>
      </w:r>
    </w:p>
    <w:bookmarkEnd w:id="26"/>
    <w:bookmarkStart w:id="27" w:name="notation-and-paleography"/>
    <w:p>
      <w:pPr>
        <w:pStyle w:val="Heading2"/>
      </w:pPr>
      <w:r>
        <w:t xml:space="preserve">Notation and Paleography</w:t>
      </w:r>
    </w:p>
    <w:p>
      <w:pPr>
        <w:numPr>
          <w:ilvl w:val="0"/>
          <w:numId w:val="1027"/>
        </w:numPr>
        <w:pStyle w:val="Compact"/>
      </w:pPr>
      <w:r>
        <w:t xml:space="preserve">Parrish, Carl (1957).</w:t>
      </w:r>
      <w:r>
        <w:t xml:space="preserve"> </w:t>
      </w:r>
      <w:r>
        <w:rPr>
          <w:iCs/>
          <w:i/>
        </w:rPr>
        <w:t xml:space="preserve">The Notation of Medieval Music</w:t>
      </w:r>
      <w:r>
        <w:t xml:space="preserve">. W.W. Norton.</w:t>
      </w:r>
    </w:p>
    <w:p>
      <w:pPr>
        <w:numPr>
          <w:ilvl w:val="1"/>
          <w:numId w:val="1028"/>
        </w:numPr>
        <w:pStyle w:val="Compact"/>
      </w:pPr>
      <w:r>
        <w:t xml:space="preserve">Classic introduction to medieval notation systems.</w:t>
      </w:r>
    </w:p>
    <w:p>
      <w:pPr>
        <w:numPr>
          <w:ilvl w:val="0"/>
          <w:numId w:val="1027"/>
        </w:numPr>
        <w:pStyle w:val="Compact"/>
      </w:pPr>
      <w:r>
        <w:t xml:space="preserve">Hiley, David (1993).</w:t>
      </w:r>
      <w:r>
        <w:t xml:space="preserve"> </w:t>
      </w:r>
      <w:r>
        <w:rPr>
          <w:iCs/>
          <w:i/>
        </w:rPr>
        <w:t xml:space="preserve">Western Plainchant: A Handbook</w:t>
      </w:r>
      <w:r>
        <w:t xml:space="preserve">. Oxford University Press.</w:t>
      </w:r>
    </w:p>
    <w:p>
      <w:pPr>
        <w:numPr>
          <w:ilvl w:val="1"/>
          <w:numId w:val="1029"/>
        </w:numPr>
        <w:pStyle w:val="Compact"/>
      </w:pPr>
      <w:r>
        <w:t xml:space="preserve">Comprehensive guide to chant notation and manuscript sources.</w:t>
      </w:r>
    </w:p>
    <w:p>
      <w:r>
        <w:pict>
          <v:rect style="width:0;height:1.5pt" o:hralign="center" o:hrstd="t" o:hr="t"/>
        </w:pict>
      </w:r>
    </w:p>
    <w:bookmarkEnd w:id="27"/>
    <w:bookmarkStart w:id="28" w:name="methodological-parallels-cif-context"/>
    <w:p>
      <w:pPr>
        <w:pStyle w:val="Heading2"/>
      </w:pPr>
      <w:r>
        <w:t xml:space="preserve">Methodological Parallels (CIF Context)</w:t>
      </w:r>
    </w:p>
    <w:p>
      <w:pPr>
        <w:numPr>
          <w:ilvl w:val="0"/>
          <w:numId w:val="1030"/>
        </w:numPr>
        <w:pStyle w:val="Compact"/>
      </w:pPr>
      <w:r>
        <w:t xml:space="preserve">Cook, Nicholas (2013).</w:t>
      </w:r>
      <w:r>
        <w:t xml:space="preserve"> </w:t>
      </w:r>
      <w:r>
        <w:rPr>
          <w:iCs/>
          <w:i/>
        </w:rPr>
        <w:t xml:space="preserve">Beyond the Score: Music as Performance</w:t>
      </w:r>
      <w:r>
        <w:t xml:space="preserve">. Oxford University Press.</w:t>
      </w:r>
    </w:p>
    <w:p>
      <w:pPr>
        <w:numPr>
          <w:ilvl w:val="1"/>
          <w:numId w:val="1031"/>
        </w:numPr>
        <w:pStyle w:val="Compact"/>
      </w:pPr>
      <w:r>
        <w:t xml:space="preserve">Theoretical framework for understanding what notation can and cannot encode.</w:t>
      </w:r>
    </w:p>
    <w:p>
      <w:pPr>
        <w:numPr>
          <w:ilvl w:val="0"/>
          <w:numId w:val="1030"/>
        </w:numPr>
        <w:pStyle w:val="Compact"/>
      </w:pPr>
      <w:r>
        <w:t xml:space="preserve">Clarke, Eric (2005).</w:t>
      </w:r>
      <w:r>
        <w:t xml:space="preserve"> </w:t>
      </w:r>
      <w:r>
        <w:rPr>
          <w:iCs/>
          <w:i/>
        </w:rPr>
        <w:t xml:space="preserve">Ways of Listening: An Ecological Approach to the Perception of Musical Meaning</w:t>
      </w:r>
      <w:r>
        <w:t xml:space="preserve">. Oxford University Press.</w:t>
      </w:r>
    </w:p>
    <w:p>
      <w:pPr>
        <w:numPr>
          <w:ilvl w:val="1"/>
          <w:numId w:val="1032"/>
        </w:numPr>
        <w:pStyle w:val="Compact"/>
      </w:pPr>
      <w:r>
        <w:t xml:space="preserve">Cognitive and cultural dimensions of musical meaning, relevant to semantic continuity layer analysis.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2026-07-28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CIF Recovery Systems Test Series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Derek Hone · Remnant Fieldworks Inc.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2026-07-28T17:44:26Z</dcterms:created>
  <dcterms:modified xsi:type="dcterms:W3CDTF">2026-07-28T17:44:26Z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