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wôpanâak-language-reclamation-sources"/>
    <w:p>
      <w:pPr>
        <w:pStyle w:val="Heading1"/>
      </w:pPr>
      <w:r>
        <w:t xml:space="preserve">Wôpanâak Language Reclamation — Sources</w:t>
      </w:r>
    </w:p>
    <w:p>
      <w:pPr>
        <w:pStyle w:val="FirstParagraph"/>
      </w:pPr>
      <w:r>
        <w:t xml:space="preserve">This document lists the primary and secondary sources cited in the case study.</w:t>
      </w:r>
    </w:p>
    <w:p>
      <w:r>
        <w:pict>
          <v:rect style="width:0;height:1.5pt" o:hralign="center" o:hrstd="t" o:hr="t"/>
        </w:pict>
      </w:r>
    </w:p>
    <w:bookmarkStart w:id="20" w:name="primary-sources"/>
    <w:p>
      <w:pPr>
        <w:pStyle w:val="Heading2"/>
      </w:pPr>
      <w:r>
        <w:t xml:space="preserve">Primary Sources</w:t>
      </w:r>
    </w:p>
    <w:p>
      <w:pPr>
        <w:numPr>
          <w:ilvl w:val="0"/>
          <w:numId w:val="1001"/>
        </w:numPr>
        <w:pStyle w:val="Compact"/>
      </w:pPr>
      <w:r>
        <w:t xml:space="preserve">Eliot, John (1663).</w:t>
      </w:r>
      <w:r>
        <w:t xml:space="preserve"> </w:t>
      </w:r>
      <w:r>
        <w:rPr>
          <w:iCs/>
          <w:i/>
        </w:rPr>
        <w:t xml:space="preserve">Mamusse Wunneetupanatamwe Up-Biblum God</w:t>
      </w:r>
      <w:r>
        <w:t xml:space="preserve">. Cambridge, MA: Samuel Green &amp; Marmaduke Johnson.</w:t>
      </w:r>
    </w:p>
    <w:p>
      <w:pPr>
        <w:numPr>
          <w:ilvl w:val="1"/>
          <w:numId w:val="1002"/>
        </w:numPr>
        <w:pStyle w:val="Compact"/>
      </w:pPr>
      <w:r>
        <w:t xml:space="preserve">First complete Bible printed in North America, in Wôpanâak (Massachusett) language.</w:t>
      </w:r>
    </w:p>
    <w:p>
      <w:pPr>
        <w:numPr>
          <w:ilvl w:val="1"/>
          <w:numId w:val="1002"/>
        </w:numPr>
        <w:pStyle w:val="Compact"/>
      </w:pPr>
      <w:r>
        <w:t xml:space="preserve">Digital facsimiles available via Internet Archive and Harvard University Library.</w:t>
      </w:r>
    </w:p>
    <w:p>
      <w:pPr>
        <w:numPr>
          <w:ilvl w:val="0"/>
          <w:numId w:val="1001"/>
        </w:numPr>
        <w:pStyle w:val="Compact"/>
      </w:pPr>
      <w:r>
        <w:t xml:space="preserve">Goddard, Ives &amp; Bragdon, Kathleen J., eds. (1988).</w:t>
      </w:r>
      <w:r>
        <w:t xml:space="preserve"> </w:t>
      </w:r>
      <w:r>
        <w:rPr>
          <w:iCs/>
          <w:i/>
        </w:rPr>
        <w:t xml:space="preserve">Native Writings in Massachusett</w:t>
      </w:r>
      <w:r>
        <w:t xml:space="preserve">. Memoirs of the American Philosophical Society, vol. 185. Philadelphia: American Philosophical Society.</w:t>
      </w:r>
    </w:p>
    <w:p>
      <w:pPr>
        <w:numPr>
          <w:ilvl w:val="1"/>
          <w:numId w:val="1003"/>
        </w:numPr>
        <w:pStyle w:val="Compact"/>
      </w:pPr>
      <w:r>
        <w:t xml:space="preserve">Collection of 17th–18th century Wôpanâak-language documents: deeds, wills, letters, petitions.</w:t>
      </w:r>
    </w:p>
    <w:p>
      <w:pPr>
        <w:numPr>
          <w:ilvl w:val="0"/>
          <w:numId w:val="1001"/>
        </w:numPr>
        <w:pStyle w:val="Compact"/>
      </w:pPr>
      <w:r>
        <w:t xml:space="preserve">Williams, Roger (1643).</w:t>
      </w:r>
      <w:r>
        <w:t xml:space="preserve"> </w:t>
      </w:r>
      <w:r>
        <w:rPr>
          <w:iCs/>
          <w:i/>
        </w:rPr>
        <w:t xml:space="preserve">A Key into the Language of America</w:t>
      </w:r>
      <w:r>
        <w:t xml:space="preserve">. London: Gregory Dexter.</w:t>
      </w:r>
    </w:p>
    <w:p>
      <w:pPr>
        <w:numPr>
          <w:ilvl w:val="1"/>
          <w:numId w:val="1004"/>
        </w:numPr>
        <w:pStyle w:val="Compact"/>
      </w:pPr>
      <w:r>
        <w:t xml:space="preserve">Early vocabulary and phrasebook for Narragansett (related Algonquian language), with comparative notes.</w:t>
      </w:r>
    </w:p>
    <w:p>
      <w:r>
        <w:pict>
          <v:rect style="width:0;height:1.5pt" o:hralign="center" o:hrstd="t" o:hr="t"/>
        </w:pict>
      </w:r>
    </w:p>
    <w:bookmarkEnd w:id="20"/>
    <w:bookmarkStart w:id="21" w:name="secondary-sources-wôpanâak-revival"/>
    <w:p>
      <w:pPr>
        <w:pStyle w:val="Heading2"/>
      </w:pPr>
      <w:r>
        <w:t xml:space="preserve">Secondary Sources — Wôpanâak Revival</w:t>
      </w:r>
    </w:p>
    <w:p>
      <w:pPr>
        <w:numPr>
          <w:ilvl w:val="0"/>
          <w:numId w:val="1005"/>
        </w:numPr>
        <w:pStyle w:val="Compact"/>
      </w:pPr>
      <w:r>
        <w:t xml:space="preserve">Baird, Jessie Little Doe (2014).</w:t>
      </w:r>
      <w:r>
        <w:t xml:space="preserve"> </w:t>
      </w:r>
      <w:r>
        <w:t xml:space="preserve">“</w:t>
      </w:r>
      <w:r>
        <w:t xml:space="preserve">Wôpanâak Language Reclamation Project: History and Progress.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The Green Book of Language Revitalization in Practice</w:t>
      </w:r>
      <w:r>
        <w:t xml:space="preserve">, ed. Leanne Hinton &amp; Ken Hale, pp. 107–122. Leiden: Brill.</w:t>
      </w:r>
    </w:p>
    <w:p>
      <w:pPr>
        <w:numPr>
          <w:ilvl w:val="1"/>
          <w:numId w:val="1006"/>
        </w:numPr>
        <w:pStyle w:val="Compact"/>
      </w:pPr>
      <w:r>
        <w:t xml:space="preserve">First-person account of the revival process by the project’s founder.</w:t>
      </w:r>
    </w:p>
    <w:p>
      <w:pPr>
        <w:numPr>
          <w:ilvl w:val="0"/>
          <w:numId w:val="1005"/>
        </w:numPr>
        <w:pStyle w:val="Compact"/>
      </w:pPr>
      <w:r>
        <w:t xml:space="preserve">Baird, Jessie Little Doe (2004).</w:t>
      </w:r>
      <w:r>
        <w:t xml:space="preserve"> </w:t>
      </w:r>
      <w:r>
        <w:t xml:space="preserve">“</w:t>
      </w:r>
      <w:r>
        <w:t xml:space="preserve">A Language Reclaimed.</w:t>
      </w:r>
      <w:r>
        <w:t xml:space="preserve">”</w:t>
      </w:r>
      <w:r>
        <w:t xml:space="preserve"> </w:t>
      </w:r>
      <w:r>
        <w:rPr>
          <w:iCs/>
          <w:i/>
        </w:rPr>
        <w:t xml:space="preserve">UNESCO Courier</w:t>
      </w:r>
      <w:r>
        <w:t xml:space="preserve">, September 2004.</w:t>
      </w:r>
    </w:p>
    <w:p>
      <w:pPr>
        <w:numPr>
          <w:ilvl w:val="1"/>
          <w:numId w:val="1007"/>
        </w:numPr>
        <w:pStyle w:val="Compact"/>
      </w:pPr>
      <w:r>
        <w:t xml:space="preserve">Overview of the WLRP and its early successes.</w:t>
      </w:r>
    </w:p>
    <w:p>
      <w:pPr>
        <w:numPr>
          <w:ilvl w:val="0"/>
          <w:numId w:val="1005"/>
        </w:numPr>
        <w:pStyle w:val="Compact"/>
      </w:pPr>
      <w:r>
        <w:t xml:space="preserve">Fermino, Jessie Little Doe (2000).</w:t>
      </w:r>
      <w:r>
        <w:t xml:space="preserve"> </w:t>
      </w:r>
      <w:r>
        <w:rPr>
          <w:iCs/>
          <w:i/>
        </w:rPr>
        <w:t xml:space="preserve">An Introduction to Wampanoag Grammar</w:t>
      </w:r>
      <w:r>
        <w:t xml:space="preserve">. Master’s thesis, Massachusetts Institute of Technology.</w:t>
      </w:r>
    </w:p>
    <w:p>
      <w:pPr>
        <w:numPr>
          <w:ilvl w:val="1"/>
          <w:numId w:val="1008"/>
        </w:numPr>
        <w:pStyle w:val="Compact"/>
      </w:pPr>
      <w:r>
        <w:t xml:space="preserve">Foundational grammatical analysis used to develop teaching materials.</w:t>
      </w:r>
    </w:p>
    <w:p>
      <w:pPr>
        <w:numPr>
          <w:ilvl w:val="0"/>
          <w:numId w:val="1005"/>
        </w:numPr>
        <w:pStyle w:val="Compact"/>
      </w:pPr>
      <w:r>
        <w:t xml:space="preserve">Peters, Norvin (2011).</w:t>
      </w:r>
      <w:r>
        <w:t xml:space="preserve"> </w:t>
      </w:r>
      <w:r>
        <w:t xml:space="preserve">“</w:t>
      </w:r>
      <w:r>
        <w:t xml:space="preserve">Interview with Jessie Little Doe Baird.</w:t>
      </w:r>
      <w:r>
        <w:t xml:space="preserve">”</w:t>
      </w:r>
      <w:r>
        <w:t xml:space="preserve"> </w:t>
      </w:r>
      <w:r>
        <w:rPr>
          <w:iCs/>
          <w:i/>
        </w:rPr>
        <w:t xml:space="preserve">Indigenous Language Institute</w:t>
      </w:r>
      <w:r>
        <w:t xml:space="preserve">.</w:t>
      </w:r>
    </w:p>
    <w:p>
      <w:pPr>
        <w:numPr>
          <w:ilvl w:val="1"/>
          <w:numId w:val="1009"/>
        </w:numPr>
        <w:pStyle w:val="Compact"/>
      </w:pPr>
      <w:r>
        <w:t xml:space="preserve">Discussion of methods and challenges in language reclamation.</w:t>
      </w:r>
    </w:p>
    <w:p>
      <w:pPr>
        <w:numPr>
          <w:ilvl w:val="0"/>
          <w:numId w:val="1005"/>
        </w:numPr>
        <w:pStyle w:val="Compact"/>
      </w:pPr>
      <w:r>
        <w:t xml:space="preserve">Wôpanâak Language Reclamation Project. Official website: www.wlrp.org</w:t>
      </w:r>
    </w:p>
    <w:p>
      <w:pPr>
        <w:numPr>
          <w:ilvl w:val="1"/>
          <w:numId w:val="1010"/>
        </w:numPr>
        <w:pStyle w:val="Compact"/>
      </w:pPr>
      <w:r>
        <w:t xml:space="preserve">Curriculum materials, progress reports, community resources.</w:t>
      </w:r>
    </w:p>
    <w:p>
      <w:r>
        <w:pict>
          <v:rect style="width:0;height:1.5pt" o:hralign="center" o:hrstd="t" o:hr="t"/>
        </w:pict>
      </w:r>
    </w:p>
    <w:bookmarkEnd w:id="21"/>
    <w:bookmarkStart w:id="22" w:name="linguistic-and-comparative-algonquian"/>
    <w:p>
      <w:pPr>
        <w:pStyle w:val="Heading2"/>
      </w:pPr>
      <w:r>
        <w:t xml:space="preserve">Linguistic and Comparative Algonquian</w:t>
      </w:r>
    </w:p>
    <w:p>
      <w:pPr>
        <w:numPr>
          <w:ilvl w:val="0"/>
          <w:numId w:val="1011"/>
        </w:numPr>
        <w:pStyle w:val="Compact"/>
      </w:pPr>
      <w:r>
        <w:t xml:space="preserve">Costa, David J. (2007).</w:t>
      </w:r>
      <w:r>
        <w:t xml:space="preserve"> </w:t>
      </w:r>
      <w:r>
        <w:t xml:space="preserve">“</w:t>
      </w:r>
      <w:r>
        <w:t xml:space="preserve">The Dialectology of Southern New England Algonquian.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Papers of the 38th Algonquian Conference</w:t>
      </w:r>
      <w:r>
        <w:t xml:space="preserve">, ed. H.C. Wolfart, pp. 81–127. Winnipeg: University of Manitoba.</w:t>
      </w:r>
    </w:p>
    <w:p>
      <w:pPr>
        <w:numPr>
          <w:ilvl w:val="1"/>
          <w:numId w:val="1012"/>
        </w:numPr>
        <w:pStyle w:val="Compact"/>
      </w:pPr>
      <w:r>
        <w:t xml:space="preserve">Comparative analysis of Wôpanâak, Narragansett, and related languages.</w:t>
      </w:r>
    </w:p>
    <w:p>
      <w:pPr>
        <w:numPr>
          <w:ilvl w:val="0"/>
          <w:numId w:val="1011"/>
        </w:numPr>
        <w:pStyle w:val="Compact"/>
      </w:pPr>
      <w:r>
        <w:t xml:space="preserve">Goddard, Ives (1978).</w:t>
      </w:r>
      <w:r>
        <w:t xml:space="preserve"> </w:t>
      </w:r>
      <w:r>
        <w:t xml:space="preserve">“</w:t>
      </w:r>
      <w:r>
        <w:t xml:space="preserve">Eastern Algonquian Languages.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Handbook of North American Indians</w:t>
      </w:r>
      <w:r>
        <w:t xml:space="preserve">, vol. 15:</w:t>
      </w:r>
      <w:r>
        <w:t xml:space="preserve"> </w:t>
      </w:r>
      <w:r>
        <w:rPr>
          <w:iCs/>
          <w:i/>
        </w:rPr>
        <w:t xml:space="preserve">Northeast</w:t>
      </w:r>
      <w:r>
        <w:t xml:space="preserve">, ed. Bruce G. Trigger, pp. 70–77. Washington, DC: Smithsonian Institution.</w:t>
      </w:r>
    </w:p>
    <w:p>
      <w:pPr>
        <w:numPr>
          <w:ilvl w:val="1"/>
          <w:numId w:val="1013"/>
        </w:numPr>
        <w:pStyle w:val="Compact"/>
      </w:pPr>
      <w:r>
        <w:t xml:space="preserve">Overview of Algonquian language family and relationships.</w:t>
      </w:r>
    </w:p>
    <w:p>
      <w:pPr>
        <w:numPr>
          <w:ilvl w:val="0"/>
          <w:numId w:val="1011"/>
        </w:numPr>
        <w:pStyle w:val="Compact"/>
      </w:pPr>
      <w:r>
        <w:t xml:space="preserve">Bragdon, Kathleen J. (1996).</w:t>
      </w:r>
      <w:r>
        <w:t xml:space="preserve"> </w:t>
      </w:r>
      <w:r>
        <w:rPr>
          <w:iCs/>
          <w:i/>
        </w:rPr>
        <w:t xml:space="preserve">Native People of Southern New England, 1500–1650</w:t>
      </w:r>
      <w:r>
        <w:t xml:space="preserve">. Norman: University of Oklahoma Press.</w:t>
      </w:r>
    </w:p>
    <w:p>
      <w:pPr>
        <w:numPr>
          <w:ilvl w:val="1"/>
          <w:numId w:val="1014"/>
        </w:numPr>
        <w:pStyle w:val="Compact"/>
      </w:pPr>
      <w:r>
        <w:t xml:space="preserve">Historical and linguistic context for Wôpanâak-speaking communities.</w:t>
      </w:r>
    </w:p>
    <w:p>
      <w:r>
        <w:pict>
          <v:rect style="width:0;height:1.5pt" o:hralign="center" o:hrstd="t" o:hr="t"/>
        </w:pict>
      </w:r>
    </w:p>
    <w:bookmarkEnd w:id="22"/>
    <w:bookmarkStart w:id="23" w:name="language-revitalization-theory"/>
    <w:p>
      <w:pPr>
        <w:pStyle w:val="Heading2"/>
      </w:pPr>
      <w:r>
        <w:t xml:space="preserve">Language Revitalization Theory</w:t>
      </w:r>
    </w:p>
    <w:p>
      <w:pPr>
        <w:numPr>
          <w:ilvl w:val="0"/>
          <w:numId w:val="1015"/>
        </w:numPr>
        <w:pStyle w:val="Compact"/>
      </w:pPr>
      <w:r>
        <w:t xml:space="preserve">Hinton, Leanne &amp; Hale, Ken, eds. (2001).</w:t>
      </w:r>
      <w:r>
        <w:t xml:space="preserve"> </w:t>
      </w:r>
      <w:r>
        <w:rPr>
          <w:iCs/>
          <w:i/>
        </w:rPr>
        <w:t xml:space="preserve">The Green Book of Language Revitalization in Practice</w:t>
      </w:r>
      <w:r>
        <w:t xml:space="preserve">. San Diego: Academic Press.</w:t>
      </w:r>
    </w:p>
    <w:p>
      <w:pPr>
        <w:numPr>
          <w:ilvl w:val="1"/>
          <w:numId w:val="1016"/>
        </w:numPr>
        <w:pStyle w:val="Compact"/>
      </w:pPr>
      <w:r>
        <w:t xml:space="preserve">Case studies and methods for endangered and dormant language revival; includes Wôpanâak case.</w:t>
      </w:r>
    </w:p>
    <w:p>
      <w:pPr>
        <w:numPr>
          <w:ilvl w:val="0"/>
          <w:numId w:val="1015"/>
        </w:numPr>
        <w:pStyle w:val="Compact"/>
      </w:pPr>
      <w:r>
        <w:t xml:space="preserve">Fishman, Joshua A. (1991).</w:t>
      </w:r>
      <w:r>
        <w:t xml:space="preserve"> </w:t>
      </w:r>
      <w:r>
        <w:rPr>
          <w:iCs/>
          <w:i/>
        </w:rPr>
        <w:t xml:space="preserve">Reversing Language Shift: Theoretical and Empirical Foundations of Assistance to Threatened Languages</w:t>
      </w:r>
      <w:r>
        <w:t xml:space="preserve">. Clevedon: Multilingual Matters.</w:t>
      </w:r>
    </w:p>
    <w:p>
      <w:pPr>
        <w:numPr>
          <w:ilvl w:val="1"/>
          <w:numId w:val="1017"/>
        </w:numPr>
        <w:pStyle w:val="Compact"/>
      </w:pPr>
      <w:r>
        <w:t xml:space="preserve">Theoretical framework for language revival; staged approach to reversing language loss.</w:t>
      </w:r>
    </w:p>
    <w:p>
      <w:pPr>
        <w:numPr>
          <w:ilvl w:val="0"/>
          <w:numId w:val="1015"/>
        </w:numPr>
        <w:pStyle w:val="Compact"/>
      </w:pPr>
      <w:r>
        <w:t xml:space="preserve">Grenoble, Lenore A. &amp; Whaley, Lindsay J., eds. (2006).</w:t>
      </w:r>
      <w:r>
        <w:t xml:space="preserve"> </w:t>
      </w:r>
      <w:r>
        <w:rPr>
          <w:iCs/>
          <w:i/>
        </w:rPr>
        <w:t xml:space="preserve">Saving Languages: An Introduction to Language Revitalization</w:t>
      </w:r>
      <w:r>
        <w:t xml:space="preserve">. Cambridge University Press.</w:t>
      </w:r>
    </w:p>
    <w:p>
      <w:pPr>
        <w:numPr>
          <w:ilvl w:val="1"/>
          <w:numId w:val="1018"/>
        </w:numPr>
        <w:pStyle w:val="Compact"/>
      </w:pPr>
      <w:r>
        <w:t xml:space="preserve">Methodological overview of language documentation and revival.</w:t>
      </w:r>
    </w:p>
    <w:p>
      <w:pPr>
        <w:numPr>
          <w:ilvl w:val="0"/>
          <w:numId w:val="1015"/>
        </w:numPr>
        <w:pStyle w:val="Compact"/>
      </w:pPr>
      <w:r>
        <w:t xml:space="preserve">Leonard, Wesley Y. (2008).</w:t>
      </w:r>
      <w:r>
        <w:t xml:space="preserve"> </w:t>
      </w:r>
      <w:r>
        <w:t xml:space="preserve">“</w:t>
      </w:r>
      <w:r>
        <w:t xml:space="preserve">When Is an</w:t>
      </w:r>
      <w:r>
        <w:t xml:space="preserve"> </w:t>
      </w:r>
      <w:r>
        <w:t xml:space="preserve">‘</w:t>
      </w:r>
      <w:r>
        <w:t xml:space="preserve">Extinct Language</w:t>
      </w:r>
      <w:r>
        <w:t xml:space="preserve">’</w:t>
      </w:r>
      <w:r>
        <w:t xml:space="preserve"> </w:t>
      </w:r>
      <w:r>
        <w:t xml:space="preserve">Not Extinct? Miami, a Formerly Sleeping Language.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Sustaining Linguistic Diversity: Endangered and Minority Languages and Language Varieties</w:t>
      </w:r>
      <w:r>
        <w:t xml:space="preserve">, ed. Kendall A. King et al., pp. 23–33. Washington, DC: Georgetown University Press.</w:t>
      </w:r>
    </w:p>
    <w:p>
      <w:pPr>
        <w:numPr>
          <w:ilvl w:val="1"/>
          <w:numId w:val="1019"/>
        </w:numPr>
        <w:pStyle w:val="Compact"/>
      </w:pPr>
      <w:r>
        <w:t xml:space="preserve">Comparative case: Myaamia (Miami) language revival, parallel to Wôpanâak.</w:t>
      </w:r>
    </w:p>
    <w:p>
      <w:r>
        <w:pict>
          <v:rect style="width:0;height:1.5pt" o:hralign="center" o:hrstd="t" o:hr="t"/>
        </w:pict>
      </w:r>
    </w:p>
    <w:bookmarkEnd w:id="23"/>
    <w:bookmarkStart w:id="24" w:name="historical-and-cultural-context"/>
    <w:p>
      <w:pPr>
        <w:pStyle w:val="Heading2"/>
      </w:pPr>
      <w:r>
        <w:t xml:space="preserve">Historical and Cultural Context</w:t>
      </w:r>
    </w:p>
    <w:p>
      <w:pPr>
        <w:numPr>
          <w:ilvl w:val="0"/>
          <w:numId w:val="1020"/>
        </w:numPr>
        <w:pStyle w:val="Compact"/>
      </w:pPr>
      <w:r>
        <w:t xml:space="preserve">Lepore, Jill (1998).</w:t>
      </w:r>
      <w:r>
        <w:t xml:space="preserve"> </w:t>
      </w:r>
      <w:r>
        <w:rPr>
          <w:iCs/>
          <w:i/>
        </w:rPr>
        <w:t xml:space="preserve">The Name of War: King Philip’s War and the Origins of American Identity</w:t>
      </w:r>
      <w:r>
        <w:t xml:space="preserve">. New York: Knopf.</w:t>
      </w:r>
    </w:p>
    <w:p>
      <w:pPr>
        <w:numPr>
          <w:ilvl w:val="1"/>
          <w:numId w:val="1021"/>
        </w:numPr>
        <w:pStyle w:val="Compact"/>
      </w:pPr>
      <w:r>
        <w:t xml:space="preserve">Historical context for Wampanoag communities and the impact of colonization on language survival.</w:t>
      </w:r>
    </w:p>
    <w:p>
      <w:pPr>
        <w:numPr>
          <w:ilvl w:val="0"/>
          <w:numId w:val="1020"/>
        </w:numPr>
        <w:pStyle w:val="Compact"/>
      </w:pPr>
      <w:r>
        <w:t xml:space="preserve">Salisbury, Neal (1982).</w:t>
      </w:r>
      <w:r>
        <w:t xml:space="preserve"> </w:t>
      </w:r>
      <w:r>
        <w:rPr>
          <w:iCs/>
          <w:i/>
        </w:rPr>
        <w:t xml:space="preserve">Manitou and Providence: Indians, Europeans, and the Making of New England, 1500–1643</w:t>
      </w:r>
      <w:r>
        <w:t xml:space="preserve">. Oxford University Press.</w:t>
      </w:r>
    </w:p>
    <w:p>
      <w:pPr>
        <w:numPr>
          <w:ilvl w:val="1"/>
          <w:numId w:val="1022"/>
        </w:numPr>
        <w:pStyle w:val="Compact"/>
      </w:pPr>
      <w:r>
        <w:t xml:space="preserve">Early contact period and disruption of Indigenous linguistic and cultural continuity.</w:t>
      </w:r>
    </w:p>
    <w:p>
      <w:pPr>
        <w:numPr>
          <w:ilvl w:val="0"/>
          <w:numId w:val="1020"/>
        </w:numPr>
        <w:pStyle w:val="Compact"/>
      </w:pPr>
      <w:r>
        <w:t xml:space="preserve">Silverman, David J. (2005).</w:t>
      </w:r>
      <w:r>
        <w:t xml:space="preserve"> </w:t>
      </w:r>
      <w:r>
        <w:rPr>
          <w:iCs/>
          <w:i/>
        </w:rPr>
        <w:t xml:space="preserve">Faith and Boundaries: Colonists, Christianity, and Community Among the Wampanoag Indians of Martha’s Vineyard, 1600–1871</w:t>
      </w:r>
      <w:r>
        <w:t xml:space="preserve">. Cambridge University Press.</w:t>
      </w:r>
    </w:p>
    <w:p>
      <w:pPr>
        <w:numPr>
          <w:ilvl w:val="1"/>
          <w:numId w:val="1023"/>
        </w:numPr>
        <w:pStyle w:val="Compact"/>
      </w:pPr>
      <w:r>
        <w:t xml:space="preserve">Detailed study of Wampanoag communities and language shift.</w:t>
      </w:r>
    </w:p>
    <w:p>
      <w:r>
        <w:pict>
          <v:rect style="width:0;height:1.5pt" o:hralign="center" o:hrstd="t" o:hr="t"/>
        </w:pict>
      </w:r>
    </w:p>
    <w:bookmarkEnd w:id="24"/>
    <w:bookmarkStart w:id="25" w:name="archival-and-institutional-preservation"/>
    <w:p>
      <w:pPr>
        <w:pStyle w:val="Heading2"/>
      </w:pPr>
      <w:r>
        <w:t xml:space="preserve">Archival and Institutional Preservation</w:t>
      </w:r>
    </w:p>
    <w:p>
      <w:pPr>
        <w:numPr>
          <w:ilvl w:val="0"/>
          <w:numId w:val="1024"/>
        </w:numPr>
        <w:pStyle w:val="Compact"/>
      </w:pPr>
      <w:r>
        <w:t xml:space="preserve">O’Brien, Jean M. (2010).</w:t>
      </w:r>
      <w:r>
        <w:t xml:space="preserve"> </w:t>
      </w:r>
      <w:r>
        <w:rPr>
          <w:iCs/>
          <w:i/>
        </w:rPr>
        <w:t xml:space="preserve">Firsting and Lasting: Writing Indians Out of Existence in New England</w:t>
      </w:r>
      <w:r>
        <w:t xml:space="preserve">. University of Minnesota Press.</w:t>
      </w:r>
    </w:p>
    <w:p>
      <w:pPr>
        <w:numPr>
          <w:ilvl w:val="1"/>
          <w:numId w:val="1025"/>
        </w:numPr>
        <w:pStyle w:val="Compact"/>
      </w:pPr>
      <w:r>
        <w:t xml:space="preserve">Critique of colonial archival practices and Indigenous erasure; context for why archival documents survived.</w:t>
      </w:r>
    </w:p>
    <w:p>
      <w:pPr>
        <w:numPr>
          <w:ilvl w:val="0"/>
          <w:numId w:val="1024"/>
        </w:numPr>
        <w:pStyle w:val="Compact"/>
      </w:pPr>
      <w:r>
        <w:t xml:space="preserve">Trouillot, Michel-Rolph (1995).</w:t>
      </w:r>
      <w:r>
        <w:t xml:space="preserve"> </w:t>
      </w:r>
      <w:r>
        <w:rPr>
          <w:iCs/>
          <w:i/>
        </w:rPr>
        <w:t xml:space="preserve">Silencing the Past: Power and the Production of History</w:t>
      </w:r>
      <w:r>
        <w:t xml:space="preserve">. Boston: Beacon Press.</w:t>
      </w:r>
    </w:p>
    <w:p>
      <w:pPr>
        <w:numPr>
          <w:ilvl w:val="1"/>
          <w:numId w:val="1026"/>
        </w:numPr>
        <w:pStyle w:val="Compact"/>
      </w:pPr>
      <w:r>
        <w:t xml:space="preserve">Theoretical framework for understanding what gets preserved in archives and what is erased.</w:t>
      </w:r>
    </w:p>
    <w:p>
      <w:r>
        <w:pict>
          <v:rect style="width:0;height:1.5pt" o:hralign="center" o:hrstd="t" o:hr="t"/>
        </w:pict>
      </w:r>
    </w:p>
    <w:bookmarkEnd w:id="25"/>
    <w:bookmarkStart w:id="26" w:name="methodological-and-cif-context"/>
    <w:p>
      <w:pPr>
        <w:pStyle w:val="Heading2"/>
      </w:pPr>
      <w:r>
        <w:t xml:space="preserve">Methodological and CIF Context</w:t>
      </w:r>
    </w:p>
    <w:p>
      <w:pPr>
        <w:numPr>
          <w:ilvl w:val="0"/>
          <w:numId w:val="1027"/>
        </w:numPr>
        <w:pStyle w:val="Compact"/>
      </w:pPr>
      <w:r>
        <w:t xml:space="preserve">Crystal, David (2000).</w:t>
      </w:r>
      <w:r>
        <w:t xml:space="preserve"> </w:t>
      </w:r>
      <w:r>
        <w:rPr>
          <w:iCs/>
          <w:i/>
        </w:rPr>
        <w:t xml:space="preserve">Language Death</w:t>
      </w:r>
      <w:r>
        <w:t xml:space="preserve">. Cambridge University Press.</w:t>
      </w:r>
    </w:p>
    <w:p>
      <w:pPr>
        <w:numPr>
          <w:ilvl w:val="1"/>
          <w:numId w:val="1028"/>
        </w:numPr>
        <w:pStyle w:val="Compact"/>
      </w:pPr>
      <w:r>
        <w:t xml:space="preserve">Overview of language extinction processes and revival challenges.</w:t>
      </w:r>
    </w:p>
    <w:p>
      <w:pPr>
        <w:numPr>
          <w:ilvl w:val="0"/>
          <w:numId w:val="1027"/>
        </w:numPr>
        <w:pStyle w:val="Compact"/>
      </w:pPr>
      <w:r>
        <w:t xml:space="preserve">UNESCO Ad Hoc Expert Group on Endangered Languages (2003).</w:t>
      </w:r>
      <w:r>
        <w:t xml:space="preserve"> </w:t>
      </w:r>
      <w:r>
        <w:t xml:space="preserve">“</w:t>
      </w:r>
      <w:r>
        <w:t xml:space="preserve">Language Vitality and Endangerment.</w:t>
      </w:r>
      <w:r>
        <w:t xml:space="preserve">”</w:t>
      </w:r>
      <w:r>
        <w:t xml:space="preserve"> </w:t>
      </w:r>
      <w:r>
        <w:t xml:space="preserve">Paris: UNESCO.</w:t>
      </w:r>
    </w:p>
    <w:p>
      <w:pPr>
        <w:numPr>
          <w:ilvl w:val="1"/>
          <w:numId w:val="1029"/>
        </w:numPr>
        <w:pStyle w:val="Compact"/>
      </w:pPr>
      <w:r>
        <w:t xml:space="preserve">Framework for assessing language vitality and documenting endangered languages.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2026-07-28</w:t>
      </w:r>
      <w:r>
        <w:br/>
      </w:r>
      <w:r>
        <w:rPr>
          <w:bCs/>
          <w:b/>
        </w:rPr>
        <w:t xml:space="preserve">Series:</w:t>
      </w:r>
      <w:r>
        <w:t xml:space="preserve"> </w:t>
      </w:r>
      <w:r>
        <w:t xml:space="preserve">CIF Recovery Systems Test Series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Derek Hone · Remnant Fieldworks Inc.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2026-07-28T17:47:32Z</dcterms:created>
  <dcterms:modified xsi:type="dcterms:W3CDTF">2026-07-28T17:47:32Z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