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d15188de50f4c5a6bc927fc839119eae6f52961"/>
    <w:p>
      <w:pPr>
        <w:pStyle w:val="Heading1"/>
      </w:pPr>
      <w:r>
        <w:t xml:space="preserve">Apollo F-1 Engine Tacit Knowledge Loss — Sources</w:t>
      </w:r>
    </w:p>
    <w:p>
      <w:pPr>
        <w:pStyle w:val="FirstParagraph"/>
      </w:pPr>
      <w:r>
        <w:t xml:space="preserve">This document lists the primary and secondary sources cited in the case study.</w:t>
      </w:r>
    </w:p>
    <w:p>
      <w:r>
        <w:pict>
          <v:rect style="width:0;height:1.5pt" o:hralign="center" o:hrstd="t" o:hr="t"/>
        </w:pict>
      </w:r>
    </w:p>
    <w:bookmarkStart w:id="20" w:name="primary-sources-nasa-documentation"/>
    <w:p>
      <w:pPr>
        <w:pStyle w:val="Heading2"/>
      </w:pPr>
      <w:r>
        <w:t xml:space="preserve">Primary Sources — NASA Documentation</w:t>
      </w:r>
    </w:p>
    <w:p>
      <w:pPr>
        <w:numPr>
          <w:ilvl w:val="0"/>
          <w:numId w:val="1001"/>
        </w:numPr>
        <w:pStyle w:val="Compact"/>
      </w:pPr>
      <w:r>
        <w:t xml:space="preserve">NASA Marshall Space Flight Center (2013).</w:t>
      </w:r>
      <w:r>
        <w:t xml:space="preserve"> </w:t>
      </w:r>
      <w:r>
        <w:rPr>
          <w:iCs/>
          <w:i/>
        </w:rPr>
        <w:t xml:space="preserve">F-1 Engine Scanning and Modeling Project</w:t>
      </w:r>
      <w:r>
        <w:t xml:space="preserve">. Huntsville, AL.</w:t>
      </w:r>
    </w:p>
    <w:p>
      <w:pPr>
        <w:numPr>
          <w:ilvl w:val="1"/>
          <w:numId w:val="1002"/>
        </w:numPr>
        <w:pStyle w:val="Compact"/>
      </w:pPr>
      <w:r>
        <w:t xml:space="preserve">Technical report on 3D laser scanning of museum F-1 engines and analysis of archived documentation.</w:t>
      </w:r>
    </w:p>
    <w:p>
      <w:pPr>
        <w:numPr>
          <w:ilvl w:val="0"/>
          <w:numId w:val="1001"/>
        </w:numPr>
        <w:pStyle w:val="Compact"/>
      </w:pPr>
      <w:r>
        <w:t xml:space="preserve">NASA (1969).</w:t>
      </w:r>
      <w:r>
        <w:t xml:space="preserve"> </w:t>
      </w:r>
      <w:r>
        <w:rPr>
          <w:iCs/>
          <w:i/>
        </w:rPr>
        <w:t xml:space="preserve">Saturn V Flight Manual</w:t>
      </w:r>
      <w:r>
        <w:t xml:space="preserve">. NASA Report SA 503.</w:t>
      </w:r>
    </w:p>
    <w:p>
      <w:pPr>
        <w:numPr>
          <w:ilvl w:val="1"/>
          <w:numId w:val="1003"/>
        </w:numPr>
        <w:pStyle w:val="Compact"/>
      </w:pPr>
      <w:r>
        <w:t xml:space="preserve">Original operational documentation for Saturn V and F-1 engines.</w:t>
      </w:r>
    </w:p>
    <w:p>
      <w:pPr>
        <w:numPr>
          <w:ilvl w:val="0"/>
          <w:numId w:val="1001"/>
        </w:numPr>
        <w:pStyle w:val="Compact"/>
      </w:pPr>
      <w:r>
        <w:t xml:space="preserve">Rocketdyne (1967).</w:t>
      </w:r>
      <w:r>
        <w:t xml:space="preserve"> </w:t>
      </w:r>
      <w:r>
        <w:rPr>
          <w:iCs/>
          <w:i/>
        </w:rPr>
        <w:t xml:space="preserve">F-1 Engine Familiarization Training Manual</w:t>
      </w:r>
      <w:r>
        <w:t xml:space="preserve">. Canoga Park, CA: Rocketdyne Division, North American Aviation.</w:t>
      </w:r>
    </w:p>
    <w:p>
      <w:pPr>
        <w:numPr>
          <w:ilvl w:val="1"/>
          <w:numId w:val="1004"/>
        </w:numPr>
        <w:pStyle w:val="Compact"/>
      </w:pPr>
      <w:r>
        <w:t xml:space="preserve">Technical training materials for Apollo-era engineers and technicians.</w:t>
      </w:r>
    </w:p>
    <w:p>
      <w:r>
        <w:pict>
          <v:rect style="width:0;height:1.5pt" o:hralign="center" o:hrstd="t" o:hr="t"/>
        </w:pict>
      </w:r>
    </w:p>
    <w:bookmarkEnd w:id="20"/>
    <w:bookmarkStart w:id="21" w:name="X7942789ca93a346a6733a737753d6016a4b316a"/>
    <w:p>
      <w:pPr>
        <w:pStyle w:val="Heading2"/>
      </w:pPr>
      <w:r>
        <w:t xml:space="preserve">Secondary Sources — F-1 Engine History and Technical Analysis</w:t>
      </w:r>
    </w:p>
    <w:p>
      <w:pPr>
        <w:numPr>
          <w:ilvl w:val="0"/>
          <w:numId w:val="1005"/>
        </w:numPr>
        <w:pStyle w:val="Compact"/>
      </w:pPr>
      <w:r>
        <w:t xml:space="preserve">Young, Anthony (2009).</w:t>
      </w:r>
      <w:r>
        <w:t xml:space="preserve"> </w:t>
      </w:r>
      <w:r>
        <w:rPr>
          <w:iCs/>
          <w:i/>
        </w:rPr>
        <w:t xml:space="preserve">The Saturn V F-1 Engine: Powering Apollo into History</w:t>
      </w:r>
      <w:r>
        <w:t xml:space="preserve">. Chichester, UK: Springer Praxis.</w:t>
      </w:r>
    </w:p>
    <w:p>
      <w:pPr>
        <w:numPr>
          <w:ilvl w:val="1"/>
          <w:numId w:val="1006"/>
        </w:numPr>
        <w:pStyle w:val="Compact"/>
      </w:pPr>
      <w:r>
        <w:t xml:space="preserve">Comprehensive technical and historical account of F-1 development, manufacturing, and legacy.</w:t>
      </w:r>
    </w:p>
    <w:p>
      <w:pPr>
        <w:numPr>
          <w:ilvl w:val="0"/>
          <w:numId w:val="1005"/>
        </w:numPr>
        <w:pStyle w:val="Compact"/>
      </w:pPr>
      <w:r>
        <w:t xml:space="preserve">Bilstein, Roger E. (1980).</w:t>
      </w:r>
      <w:r>
        <w:t xml:space="preserve"> </w:t>
      </w:r>
      <w:r>
        <w:rPr>
          <w:iCs/>
          <w:i/>
        </w:rPr>
        <w:t xml:space="preserve">Stages to Saturn: A Technological History of the Apollo/Saturn Launch Vehicles</w:t>
      </w:r>
      <w:r>
        <w:t xml:space="preserve">. NASA SP-4206. Washington, DC: NASA History Office.</w:t>
      </w:r>
    </w:p>
    <w:p>
      <w:pPr>
        <w:numPr>
          <w:ilvl w:val="1"/>
          <w:numId w:val="1007"/>
        </w:numPr>
        <w:pStyle w:val="Compact"/>
      </w:pPr>
      <w:r>
        <w:t xml:space="preserve">Official NASA history of Saturn V development, including F-1 engineering challenges.</w:t>
      </w:r>
    </w:p>
    <w:p>
      <w:pPr>
        <w:numPr>
          <w:ilvl w:val="0"/>
          <w:numId w:val="1005"/>
        </w:numPr>
        <w:pStyle w:val="Compact"/>
      </w:pPr>
      <w:r>
        <w:t xml:space="preserve">Schoenman, Edward M. (2015).</w:t>
      </w:r>
      <w:r>
        <w:t xml:space="preserve"> </w:t>
      </w:r>
      <w:r>
        <w:t xml:space="preserve">“</w:t>
      </w:r>
      <w:r>
        <w:t xml:space="preserve">The F-1 Engine: A Design Classic.</w:t>
      </w:r>
      <w:r>
        <w:t xml:space="preserve">”</w:t>
      </w:r>
      <w:r>
        <w:t xml:space="preserve"> </w:t>
      </w:r>
      <w:r>
        <w:rPr>
          <w:iCs/>
          <w:i/>
        </w:rPr>
        <w:t xml:space="preserve">Air &amp; Space Smithsonian</w:t>
      </w:r>
      <w:r>
        <w:t xml:space="preserve">, July 2015.</w:t>
      </w:r>
    </w:p>
    <w:p>
      <w:pPr>
        <w:numPr>
          <w:ilvl w:val="1"/>
          <w:numId w:val="1008"/>
        </w:numPr>
        <w:pStyle w:val="Compact"/>
      </w:pPr>
      <w:r>
        <w:t xml:space="preserve">Popular account of F-1 engineering and its enduring influence.</w:t>
      </w:r>
    </w:p>
    <w:p>
      <w:r>
        <w:pict>
          <v:rect style="width:0;height:1.5pt" o:hralign="center" o:hrstd="t" o:hr="t"/>
        </w:pict>
      </w:r>
    </w:p>
    <w:bookmarkEnd w:id="21"/>
    <w:bookmarkStart w:id="22" w:name="X4ededf5c8cafda56a679d4848aaf853586e7ce5"/>
    <w:p>
      <w:pPr>
        <w:pStyle w:val="Heading2"/>
      </w:pPr>
      <w:r>
        <w:t xml:space="preserve">Tacit Knowledge and Manufacturing Capability</w:t>
      </w:r>
    </w:p>
    <w:p>
      <w:pPr>
        <w:numPr>
          <w:ilvl w:val="0"/>
          <w:numId w:val="1009"/>
        </w:numPr>
        <w:pStyle w:val="Compact"/>
      </w:pPr>
      <w:r>
        <w:t xml:space="preserve">Bergin, Chris (2013).</w:t>
      </w:r>
      <w:r>
        <w:t xml:space="preserve"> </w:t>
      </w:r>
      <w:r>
        <w:t xml:space="preserve">“</w:t>
      </w:r>
      <w:r>
        <w:t xml:space="preserve">NASA Resurrects F-1 Engine Design with Modern Tech.</w:t>
      </w:r>
      <w:r>
        <w:t xml:space="preserve">”</w:t>
      </w:r>
      <w:r>
        <w:t xml:space="preserve"> </w:t>
      </w:r>
      <w:r>
        <w:rPr>
          <w:iCs/>
          <w:i/>
        </w:rPr>
        <w:t xml:space="preserve">NASASpaceFlight.com</w:t>
      </w:r>
      <w:r>
        <w:t xml:space="preserve">, April 16, 2013.</w:t>
      </w:r>
    </w:p>
    <w:p>
      <w:pPr>
        <w:numPr>
          <w:ilvl w:val="1"/>
          <w:numId w:val="1010"/>
        </w:numPr>
        <w:pStyle w:val="Compact"/>
      </w:pPr>
      <w:r>
        <w:t xml:space="preserve">Report on NASA’s 2013 scanning project and conclusions about restart feasibility.</w:t>
      </w:r>
    </w:p>
    <w:p>
      <w:pPr>
        <w:numPr>
          <w:ilvl w:val="0"/>
          <w:numId w:val="1009"/>
        </w:numPr>
        <w:pStyle w:val="Compact"/>
      </w:pPr>
      <w:r>
        <w:t xml:space="preserve">NASA Marshall Space Flight Center engineers (2013). Interviews and presentations on F-1 heritage and modern applications.</w:t>
      </w:r>
    </w:p>
    <w:p>
      <w:pPr>
        <w:numPr>
          <w:ilvl w:val="1"/>
          <w:numId w:val="1011"/>
        </w:numPr>
        <w:pStyle w:val="Compact"/>
      </w:pPr>
      <w:r>
        <w:t xml:space="preserve">Cited in NASA 2013 report and contemporary aerospace journalism.</w:t>
      </w:r>
    </w:p>
    <w:p>
      <w:pPr>
        <w:numPr>
          <w:ilvl w:val="0"/>
          <w:numId w:val="1009"/>
        </w:numPr>
        <w:pStyle w:val="Compact"/>
      </w:pPr>
      <w:r>
        <w:t xml:space="preserve">Loff, Sarah (2013).</w:t>
      </w:r>
      <w:r>
        <w:t xml:space="preserve"> </w:t>
      </w:r>
      <w:r>
        <w:t xml:space="preserve">“</w:t>
      </w:r>
      <w:r>
        <w:t xml:space="preserve">NASA Tests Vintage Engine, Eyes New Rocket Booster.</w:t>
      </w:r>
      <w:r>
        <w:t xml:space="preserve">”</w:t>
      </w:r>
      <w:r>
        <w:t xml:space="preserve"> </w:t>
      </w:r>
      <w:r>
        <w:rPr>
          <w:iCs/>
          <w:i/>
        </w:rPr>
        <w:t xml:space="preserve">NASA.gov</w:t>
      </w:r>
      <w:r>
        <w:t xml:space="preserve">, August 28, 2013.</w:t>
      </w:r>
    </w:p>
    <w:p>
      <w:pPr>
        <w:numPr>
          <w:ilvl w:val="1"/>
          <w:numId w:val="1012"/>
        </w:numPr>
        <w:pStyle w:val="Compact"/>
      </w:pPr>
      <w:r>
        <w:t xml:space="preserve">Report on gas-generator test using recovered F-1 components.</w:t>
      </w:r>
    </w:p>
    <w:p>
      <w:r>
        <w:pict>
          <v:rect style="width:0;height:1.5pt" o:hralign="center" o:hrstd="t" o:hr="t"/>
        </w:pict>
      </w:r>
    </w:p>
    <w:bookmarkEnd w:id="22"/>
    <w:bookmarkStart w:id="23" w:name="tacit-knowledge-theory"/>
    <w:p>
      <w:pPr>
        <w:pStyle w:val="Heading2"/>
      </w:pPr>
      <w:r>
        <w:t xml:space="preserve">Tacit Knowledge Theory</w:t>
      </w:r>
    </w:p>
    <w:p>
      <w:pPr>
        <w:numPr>
          <w:ilvl w:val="0"/>
          <w:numId w:val="1013"/>
        </w:numPr>
        <w:pStyle w:val="Compact"/>
      </w:pPr>
      <w:r>
        <w:t xml:space="preserve">Polanyi, Michael (1966).</w:t>
      </w:r>
      <w:r>
        <w:t xml:space="preserve"> </w:t>
      </w:r>
      <w:r>
        <w:rPr>
          <w:iCs/>
          <w:i/>
        </w:rPr>
        <w:t xml:space="preserve">The Tacit Dimension</w:t>
      </w:r>
      <w:r>
        <w:t xml:space="preserve">. University of Chicago Press.</w:t>
      </w:r>
    </w:p>
    <w:p>
      <w:pPr>
        <w:numPr>
          <w:ilvl w:val="1"/>
          <w:numId w:val="1014"/>
        </w:numPr>
        <w:pStyle w:val="Compact"/>
      </w:pPr>
      <w:r>
        <w:t xml:space="preserve">Foundational work on tacit versus explicit knowledge;</w:t>
      </w:r>
      <w:r>
        <w:t xml:space="preserve"> </w:t>
      </w:r>
      <w:r>
        <w:t xml:space="preserve">“</w:t>
      </w:r>
      <w:r>
        <w:t xml:space="preserve">we know more than we can tell.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Nonaka, Ikujiro &amp; Takeuchi, Hirotaka (1995).</w:t>
      </w:r>
      <w:r>
        <w:t xml:space="preserve"> </w:t>
      </w:r>
      <w:r>
        <w:rPr>
          <w:iCs/>
          <w:i/>
        </w:rPr>
        <w:t xml:space="preserve">The Knowledge-Creating Company</w:t>
      </w:r>
      <w:r>
        <w:t xml:space="preserve">. Oxford University Press.</w:t>
      </w:r>
    </w:p>
    <w:p>
      <w:pPr>
        <w:numPr>
          <w:ilvl w:val="1"/>
          <w:numId w:val="1015"/>
        </w:numPr>
        <w:pStyle w:val="Compact"/>
      </w:pPr>
      <w:r>
        <w:t xml:space="preserve">Framework for organizational knowledge creation and transfer, including tacit knowledge capture.</w:t>
      </w:r>
    </w:p>
    <w:p>
      <w:pPr>
        <w:numPr>
          <w:ilvl w:val="0"/>
          <w:numId w:val="1013"/>
        </w:numPr>
        <w:pStyle w:val="Compact"/>
      </w:pPr>
      <w:r>
        <w:t xml:space="preserve">Collins, Harry (2010).</w:t>
      </w:r>
      <w:r>
        <w:t xml:space="preserve"> </w:t>
      </w:r>
      <w:r>
        <w:rPr>
          <w:iCs/>
          <w:i/>
        </w:rPr>
        <w:t xml:space="preserve">Tacit and Explicit Knowledge</w:t>
      </w:r>
      <w:r>
        <w:t xml:space="preserve">. University of Chicago Press.</w:t>
      </w:r>
    </w:p>
    <w:p>
      <w:pPr>
        <w:numPr>
          <w:ilvl w:val="1"/>
          <w:numId w:val="1016"/>
        </w:numPr>
        <w:pStyle w:val="Compact"/>
      </w:pPr>
      <w:r>
        <w:t xml:space="preserve">Philosophical and sociological analysis of tacit knowledge transmission and loss.</w:t>
      </w:r>
    </w:p>
    <w:p>
      <w:r>
        <w:pict>
          <v:rect style="width:0;height:1.5pt" o:hralign="center" o:hrstd="t" o:hr="t"/>
        </w:pict>
      </w:r>
    </w:p>
    <w:bookmarkEnd w:id="23"/>
    <w:bookmarkStart w:id="24" w:name="aerospace-engineering-and-legacy-systems"/>
    <w:p>
      <w:pPr>
        <w:pStyle w:val="Heading2"/>
      </w:pPr>
      <w:r>
        <w:t xml:space="preserve">Aerospace Engineering and Legacy Systems</w:t>
      </w:r>
    </w:p>
    <w:p>
      <w:pPr>
        <w:numPr>
          <w:ilvl w:val="0"/>
          <w:numId w:val="1017"/>
        </w:numPr>
        <w:pStyle w:val="Compact"/>
      </w:pPr>
      <w:r>
        <w:t xml:space="preserve">Launius, Roger D. &amp; Jenkins, Dennis R. (2012).</w:t>
      </w:r>
      <w:r>
        <w:t xml:space="preserve"> </w:t>
      </w:r>
      <w:r>
        <w:rPr>
          <w:iCs/>
          <w:i/>
        </w:rPr>
        <w:t xml:space="preserve">Coming Home: Reentry and Recovery from Space</w:t>
      </w:r>
      <w:r>
        <w:t xml:space="preserve">. NASA SP-2011-593.</w:t>
      </w:r>
    </w:p>
    <w:p>
      <w:pPr>
        <w:numPr>
          <w:ilvl w:val="1"/>
          <w:numId w:val="1018"/>
        </w:numPr>
        <w:pStyle w:val="Compact"/>
      </w:pPr>
      <w:r>
        <w:t xml:space="preserve">Broader context of Apollo-era engineering and post-Apollo capability loss.</w:t>
      </w:r>
    </w:p>
    <w:p>
      <w:pPr>
        <w:numPr>
          <w:ilvl w:val="0"/>
          <w:numId w:val="1017"/>
        </w:numPr>
        <w:pStyle w:val="Compact"/>
      </w:pPr>
      <w:r>
        <w:t xml:space="preserve">McCurdy, Howard E. (1993).</w:t>
      </w:r>
      <w:r>
        <w:t xml:space="preserve"> </w:t>
      </w:r>
      <w:r>
        <w:rPr>
          <w:iCs/>
          <w:i/>
        </w:rPr>
        <w:t xml:space="preserve">Inside NASA: High Technology and Organizational Change in the U.S. Space Program</w:t>
      </w:r>
      <w:r>
        <w:t xml:space="preserve">. Johns Hopkins University Press.</w:t>
      </w:r>
    </w:p>
    <w:p>
      <w:pPr>
        <w:numPr>
          <w:ilvl w:val="1"/>
          <w:numId w:val="1019"/>
        </w:numPr>
        <w:pStyle w:val="Compact"/>
      </w:pPr>
      <w:r>
        <w:t xml:space="preserve">Institutional analysis of NASA knowledge retention and organizational memory.</w:t>
      </w:r>
    </w:p>
    <w:p>
      <w:pPr>
        <w:numPr>
          <w:ilvl w:val="0"/>
          <w:numId w:val="1017"/>
        </w:numPr>
        <w:pStyle w:val="Compact"/>
      </w:pPr>
      <w:r>
        <w:t xml:space="preserve">Augustine, Norman R., et al. (2009).</w:t>
      </w:r>
      <w:r>
        <w:t xml:space="preserve"> </w:t>
      </w:r>
      <w:r>
        <w:rPr>
          <w:iCs/>
          <w:i/>
        </w:rPr>
        <w:t xml:space="preserve">Seeking a Human Spaceflight Program Worthy of a Great Nation</w:t>
      </w:r>
      <w:r>
        <w:t xml:space="preserve">. Washington, DC: NASA Human Spaceflight Plans Committee.</w:t>
      </w:r>
    </w:p>
    <w:p>
      <w:pPr>
        <w:numPr>
          <w:ilvl w:val="1"/>
          <w:numId w:val="1020"/>
        </w:numPr>
        <w:pStyle w:val="Compact"/>
      </w:pPr>
      <w:r>
        <w:t xml:space="preserve">Report addressing loss of Apollo-era capabilities and recommendations for future programs.</w:t>
      </w:r>
    </w:p>
    <w:p>
      <w:r>
        <w:pict>
          <v:rect style="width:0;height:1.5pt" o:hralign="center" o:hrstd="t" o:hr="t"/>
        </w:pict>
      </w:r>
    </w:p>
    <w:bookmarkEnd w:id="24"/>
    <w:bookmarkStart w:id="25" w:name="X6c98c72626c4d0fbc422d4893ff3a3d0bca374c"/>
    <w:p>
      <w:pPr>
        <w:pStyle w:val="Heading2"/>
      </w:pPr>
      <w:r>
        <w:t xml:space="preserve">Modern Rocket Engineering (Comparative Context)</w:t>
      </w:r>
    </w:p>
    <w:p>
      <w:pPr>
        <w:numPr>
          <w:ilvl w:val="0"/>
          <w:numId w:val="1021"/>
        </w:numPr>
        <w:pStyle w:val="Compact"/>
      </w:pPr>
      <w:r>
        <w:t xml:space="preserve">SpaceX (2020).</w:t>
      </w:r>
      <w:r>
        <w:t xml:space="preserve"> </w:t>
      </w:r>
      <w:r>
        <w:t xml:space="preserve">“</w:t>
      </w:r>
      <w:r>
        <w:t xml:space="preserve">Merlin Engine.</w:t>
      </w:r>
      <w:r>
        <w:t xml:space="preserve">”</w:t>
      </w:r>
      <w:r>
        <w:t xml:space="preserve"> </w:t>
      </w:r>
      <w:r>
        <w:t xml:space="preserve">Technical specifications and development history.</w:t>
      </w:r>
    </w:p>
    <w:p>
      <w:pPr>
        <w:numPr>
          <w:ilvl w:val="1"/>
          <w:numId w:val="1022"/>
        </w:numPr>
        <w:pStyle w:val="Compact"/>
      </w:pPr>
      <w:r>
        <w:t xml:space="preserve">Modern rocket engine design philosophy; different approach from F-1.</w:t>
      </w:r>
    </w:p>
    <w:p>
      <w:pPr>
        <w:numPr>
          <w:ilvl w:val="0"/>
          <w:numId w:val="1021"/>
        </w:numPr>
        <w:pStyle w:val="Compact"/>
      </w:pPr>
      <w:r>
        <w:t xml:space="preserve">Aerojet Rocketdyne (2015).</w:t>
      </w:r>
      <w:r>
        <w:t xml:space="preserve"> </w:t>
      </w:r>
      <w:r>
        <w:t xml:space="preserve">“</w:t>
      </w:r>
      <w:r>
        <w:t xml:space="preserve">RS-25 Engine.</w:t>
      </w:r>
      <w:r>
        <w:t xml:space="preserve">”</w:t>
      </w:r>
      <w:r>
        <w:t xml:space="preserve"> </w:t>
      </w:r>
      <w:r>
        <w:t xml:space="preserve">Technical documentation.</w:t>
      </w:r>
    </w:p>
    <w:p>
      <w:pPr>
        <w:numPr>
          <w:ilvl w:val="1"/>
          <w:numId w:val="1023"/>
        </w:numPr>
        <w:pStyle w:val="Compact"/>
      </w:pPr>
      <w:r>
        <w:t xml:space="preserve">Space Shuttle main engine, derived from Apollo-era technology, adapted for SLS.</w:t>
      </w:r>
    </w:p>
    <w:p>
      <w:pPr>
        <w:numPr>
          <w:ilvl w:val="0"/>
          <w:numId w:val="1021"/>
        </w:numPr>
        <w:pStyle w:val="Compact"/>
      </w:pPr>
      <w:r>
        <w:t xml:space="preserve">Sutton, George P. &amp; Biblarz, Oscar (2016).</w:t>
      </w:r>
      <w:r>
        <w:t xml:space="preserve"> </w:t>
      </w:r>
      <w:r>
        <w:rPr>
          <w:iCs/>
          <w:i/>
        </w:rPr>
        <w:t xml:space="preserve">Rocket Propulsion Elements</w:t>
      </w:r>
      <w:r>
        <w:t xml:space="preserve">, 9th ed. Wiley.</w:t>
      </w:r>
    </w:p>
    <w:p>
      <w:pPr>
        <w:numPr>
          <w:ilvl w:val="1"/>
          <w:numId w:val="1024"/>
        </w:numPr>
        <w:pStyle w:val="Compact"/>
      </w:pPr>
      <w:r>
        <w:t xml:space="preserve">Standard aerospace engineering textbook; includes historical and modern engine design.</w:t>
      </w:r>
    </w:p>
    <w:p>
      <w:r>
        <w:pict>
          <v:rect style="width:0;height:1.5pt" o:hralign="center" o:hrstd="t" o:hr="t"/>
        </w:pict>
      </w:r>
    </w:p>
    <w:bookmarkEnd w:id="25"/>
    <w:bookmarkStart w:id="26" w:name="cif-and-knowledge-inheritance-context"/>
    <w:p>
      <w:pPr>
        <w:pStyle w:val="Heading2"/>
      </w:pPr>
      <w:r>
        <w:t xml:space="preserve">CIF and Knowledge Inheritance Context</w:t>
      </w:r>
    </w:p>
    <w:p>
      <w:pPr>
        <w:numPr>
          <w:ilvl w:val="0"/>
          <w:numId w:val="1025"/>
        </w:numPr>
        <w:pStyle w:val="Compact"/>
      </w:pPr>
      <w:r>
        <w:t xml:space="preserve">Vincenti, Walter G. (1990).</w:t>
      </w:r>
      <w:r>
        <w:t xml:space="preserve"> </w:t>
      </w:r>
      <w:r>
        <w:rPr>
          <w:iCs/>
          <w:i/>
        </w:rPr>
        <w:t xml:space="preserve">What Engineers Know and How They Know It</w:t>
      </w:r>
      <w:r>
        <w:t xml:space="preserve">. Johns Hopkins University Press.</w:t>
      </w:r>
    </w:p>
    <w:p>
      <w:pPr>
        <w:numPr>
          <w:ilvl w:val="1"/>
          <w:numId w:val="1026"/>
        </w:numPr>
        <w:pStyle w:val="Compact"/>
      </w:pPr>
      <w:r>
        <w:t xml:space="preserve">Epistemology of engineering knowledge; relevance to tacit/explicit knowledge distinction.</w:t>
      </w:r>
    </w:p>
    <w:p>
      <w:pPr>
        <w:numPr>
          <w:ilvl w:val="0"/>
          <w:numId w:val="1025"/>
        </w:numPr>
        <w:pStyle w:val="Compact"/>
      </w:pPr>
      <w:r>
        <w:t xml:space="preserve">Ferguson, Eugene S. (1992).</w:t>
      </w:r>
      <w:r>
        <w:t xml:space="preserve"> </w:t>
      </w:r>
      <w:r>
        <w:rPr>
          <w:iCs/>
          <w:i/>
        </w:rPr>
        <w:t xml:space="preserve">Engineering and the Mind’s Eye</w:t>
      </w:r>
      <w:r>
        <w:t xml:space="preserve">. MIT Press.</w:t>
      </w:r>
    </w:p>
    <w:p>
      <w:pPr>
        <w:numPr>
          <w:ilvl w:val="1"/>
          <w:numId w:val="1027"/>
        </w:numPr>
        <w:pStyle w:val="Compact"/>
      </w:pPr>
      <w:r>
        <w:t xml:space="preserve">Role of non-verbal, visual, and tacit knowledge in engineering practice.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2026-07-28</w:t>
      </w:r>
      <w:r>
        <w:br/>
      </w:r>
      <w:r>
        <w:rPr>
          <w:bCs/>
          <w:b/>
        </w:rPr>
        <w:t xml:space="preserve">Series:</w:t>
      </w:r>
      <w:r>
        <w:t xml:space="preserve"> </w:t>
      </w:r>
      <w:r>
        <w:t xml:space="preserve">CIF Recovery Systems Test Series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Derek Hone · Remnant Fieldworks Inc.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2026-07-28T17:50:15Z</dcterms:created>
  <dcterms:modified xsi:type="dcterms:W3CDTF">2026-07-28T17:50:15Z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