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bbc-domesday-project-sources"/>
    <w:p>
      <w:pPr>
        <w:pStyle w:val="Heading1"/>
      </w:pPr>
      <w:r>
        <w:t xml:space="preserve">BBC Domesday Project — Sources</w:t>
      </w:r>
    </w:p>
    <w:p>
      <w:pPr>
        <w:pStyle w:val="FirstParagraph"/>
      </w:pPr>
      <w:r>
        <w:t xml:space="preserve">This document lists the primary and secondary sources cited in the case study.</w:t>
      </w:r>
    </w:p>
    <w:p>
      <w:r>
        <w:pict>
          <v:rect style="width:0;height:1.5pt" o:hralign="center" o:hrstd="t" o:hr="t"/>
        </w:pict>
      </w:r>
    </w:p>
    <w:bookmarkStart w:id="20" w:name="Xace2824dbd75369032061a0d0ad3fbf152cf356"/>
    <w:p>
      <w:pPr>
        <w:pStyle w:val="Heading2"/>
      </w:pPr>
      <w:r>
        <w:t xml:space="preserve">Primary Sources — Domesday Recovery Project</w:t>
      </w:r>
    </w:p>
    <w:p>
      <w:pPr>
        <w:numPr>
          <w:ilvl w:val="0"/>
          <w:numId w:val="1001"/>
        </w:numPr>
        <w:pStyle w:val="Compact"/>
      </w:pPr>
      <w:r>
        <w:t xml:space="preserve">Darlington, Jeffrey; Finney, Andy; &amp; Pearson, Andy (2003).</w:t>
      </w:r>
      <w:r>
        <w:t xml:space="preserve"> </w:t>
      </w:r>
      <w:r>
        <w:t xml:space="preserve">“</w:t>
      </w:r>
      <w:r>
        <w:t xml:space="preserve">Domesday Redux: The Rescue of the BBC Domesday Project.</w:t>
      </w:r>
      <w:r>
        <w:t xml:space="preserve">”</w:t>
      </w:r>
      <w:r>
        <w:t xml:space="preserve"> </w:t>
      </w:r>
      <w:r>
        <w:rPr>
          <w:iCs/>
          <w:i/>
        </w:rPr>
        <w:t xml:space="preserve">RLG DigiNews</w:t>
      </w:r>
      <w:r>
        <w:t xml:space="preserve"> </w:t>
      </w:r>
      <w:r>
        <w:t xml:space="preserve">7(5).</w:t>
      </w:r>
    </w:p>
    <w:p>
      <w:pPr>
        <w:numPr>
          <w:ilvl w:val="1"/>
          <w:numId w:val="1002"/>
        </w:numPr>
        <w:pStyle w:val="Compact"/>
      </w:pPr>
      <w:r>
        <w:t xml:space="preserve">First-hand account of the emulation project and recovery process.</w:t>
      </w:r>
    </w:p>
    <w:p>
      <w:pPr>
        <w:numPr>
          <w:ilvl w:val="0"/>
          <w:numId w:val="1001"/>
        </w:numPr>
        <w:pStyle w:val="Compact"/>
      </w:pPr>
      <w:r>
        <w:t xml:space="preserve">UK National Archives &amp; University of Leeds (2004).</w:t>
      </w:r>
      <w:r>
        <w:t xml:space="preserve"> </w:t>
      </w:r>
      <w:r>
        <w:rPr>
          <w:iCs/>
          <w:i/>
        </w:rPr>
        <w:t xml:space="preserve">The Domesday Book Online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Web-based interface to the recovered BBC Domesday Project data.</w:t>
      </w:r>
    </w:p>
    <w:p>
      <w:pPr>
        <w:numPr>
          <w:ilvl w:val="0"/>
          <w:numId w:val="1001"/>
        </w:numPr>
        <w:pStyle w:val="Compact"/>
      </w:pPr>
      <w:r>
        <w:t xml:space="preserve">BBC (2003).</w:t>
      </w:r>
      <w:r>
        <w:t xml:space="preserve"> </w:t>
      </w:r>
      <w:r>
        <w:t xml:space="preserve">“</w:t>
      </w:r>
      <w:r>
        <w:t xml:space="preserve">Domesday Reloaded.</w:t>
      </w:r>
      <w:r>
        <w:t xml:space="preserve">”</w:t>
      </w:r>
      <w:r>
        <w:t xml:space="preserve"> </w:t>
      </w:r>
      <w:r>
        <w:rPr>
          <w:iCs/>
          <w:i/>
        </w:rPr>
        <w:t xml:space="preserve">BBC News</w:t>
      </w:r>
      <w:r>
        <w:t xml:space="preserve">, December 2, 2003.</w:t>
      </w:r>
    </w:p>
    <w:p>
      <w:pPr>
        <w:numPr>
          <w:ilvl w:val="1"/>
          <w:numId w:val="1004"/>
        </w:numPr>
        <w:pStyle w:val="Compact"/>
      </w:pPr>
      <w:r>
        <w:t xml:space="preserve">News coverage of the successful emulation and recovery.</w:t>
      </w:r>
    </w:p>
    <w:p>
      <w:r>
        <w:pict>
          <v:rect style="width:0;height:1.5pt" o:hralign="center" o:hrstd="t" o:hr="t"/>
        </w:pict>
      </w:r>
    </w:p>
    <w:bookmarkEnd w:id="20"/>
    <w:bookmarkStart w:id="21" w:name="digital-preservation-and-emulation"/>
    <w:p>
      <w:pPr>
        <w:pStyle w:val="Heading2"/>
      </w:pPr>
      <w:r>
        <w:t xml:space="preserve">Digital Preservation and Emulation</w:t>
      </w:r>
    </w:p>
    <w:p>
      <w:pPr>
        <w:numPr>
          <w:ilvl w:val="0"/>
          <w:numId w:val="1005"/>
        </w:numPr>
        <w:pStyle w:val="Compact"/>
      </w:pPr>
      <w:r>
        <w:t xml:space="preserve">Ross, Seamus &amp; Gow, Ann (1999).</w:t>
      </w:r>
      <w:r>
        <w:t xml:space="preserve"> </w:t>
      </w:r>
      <w:r>
        <w:rPr>
          <w:iCs/>
          <w:i/>
        </w:rPr>
        <w:t xml:space="preserve">Digital Archaeology: Rescuing Neglected and Damaged Data Resources</w:t>
      </w:r>
      <w:r>
        <w:t xml:space="preserve">. British Library Research and Innovation Report 110. London: British Library.</w:t>
      </w:r>
    </w:p>
    <w:p>
      <w:pPr>
        <w:numPr>
          <w:ilvl w:val="1"/>
          <w:numId w:val="1006"/>
        </w:numPr>
        <w:pStyle w:val="Compact"/>
      </w:pPr>
      <w:r>
        <w:t xml:space="preserve">Early digital preservation research; includes Domesday case study.</w:t>
      </w:r>
    </w:p>
    <w:p>
      <w:pPr>
        <w:numPr>
          <w:ilvl w:val="0"/>
          <w:numId w:val="1005"/>
        </w:numPr>
        <w:pStyle w:val="Compact"/>
      </w:pPr>
      <w:r>
        <w:t xml:space="preserve">Ross, Seamus (2000).</w:t>
      </w:r>
      <w:r>
        <w:t xml:space="preserve"> </w:t>
      </w:r>
      <w:r>
        <w:t xml:space="preserve">“</w:t>
      </w:r>
      <w:r>
        <w:t xml:space="preserve">Changing Trains at Wigan: Digital Preservation and the Future of Scholarship.</w:t>
      </w:r>
      <w:r>
        <w:t xml:space="preserve">”</w:t>
      </w:r>
      <w:r>
        <w:t xml:space="preserve"> </w:t>
      </w:r>
      <w:r>
        <w:rPr>
          <w:iCs/>
          <w:i/>
        </w:rPr>
        <w:t xml:space="preserve">NPO Preservation Guidance: Occasional Papers</w:t>
      </w:r>
      <w:r>
        <w:t xml:space="preserve">. London: National Preservation Office.</w:t>
      </w:r>
    </w:p>
    <w:p>
      <w:pPr>
        <w:numPr>
          <w:ilvl w:val="1"/>
          <w:numId w:val="1007"/>
        </w:numPr>
        <w:pStyle w:val="Compact"/>
      </w:pPr>
      <w:r>
        <w:t xml:space="preserve">Broader context for digital preservation challenges.</w:t>
      </w:r>
    </w:p>
    <w:p>
      <w:pPr>
        <w:numPr>
          <w:ilvl w:val="0"/>
          <w:numId w:val="1005"/>
        </w:numPr>
        <w:pStyle w:val="Compact"/>
      </w:pPr>
      <w:r>
        <w:t xml:space="preserve">Holdsworth, David &amp; Wheatley, Paul (2001).</w:t>
      </w:r>
      <w:r>
        <w:t xml:space="preserve"> </w:t>
      </w:r>
      <w:r>
        <w:t xml:space="preserve">“</w:t>
      </w:r>
      <w:r>
        <w:t xml:space="preserve">Emulation, Preservation, and Abstraction.</w:t>
      </w:r>
      <w:r>
        <w:t xml:space="preserve">”</w:t>
      </w:r>
      <w:r>
        <w:t xml:space="preserve"> </w:t>
      </w:r>
      <w:r>
        <w:rPr>
          <w:iCs/>
          <w:i/>
        </w:rPr>
        <w:t xml:space="preserve">RLG DigiNews</w:t>
      </w:r>
      <w:r>
        <w:t xml:space="preserve"> </w:t>
      </w:r>
      <w:r>
        <w:t xml:space="preserve">5(4).</w:t>
      </w:r>
    </w:p>
    <w:p>
      <w:pPr>
        <w:numPr>
          <w:ilvl w:val="1"/>
          <w:numId w:val="1008"/>
        </w:numPr>
        <w:pStyle w:val="Compact"/>
      </w:pPr>
      <w:r>
        <w:t xml:space="preserve">Technical discussion of emulation as a preservation strategy.</w:t>
      </w:r>
    </w:p>
    <w:p>
      <w:r>
        <w:pict>
          <v:rect style="width:0;height:1.5pt" o:hralign="center" o:hrstd="t" o:hr="t"/>
        </w:pict>
      </w:r>
    </w:p>
    <w:bookmarkEnd w:id="21"/>
    <w:bookmarkStart w:id="22" w:name="laserdisc-technology"/>
    <w:p>
      <w:pPr>
        <w:pStyle w:val="Heading2"/>
      </w:pPr>
      <w:r>
        <w:t xml:space="preserve">LaserDisc Technology</w:t>
      </w:r>
    </w:p>
    <w:p>
      <w:pPr>
        <w:numPr>
          <w:ilvl w:val="0"/>
          <w:numId w:val="1009"/>
        </w:numPr>
        <w:pStyle w:val="Compact"/>
      </w:pPr>
      <w:r>
        <w:t xml:space="preserve">BBC &amp; Acorn Computers (1986).</w:t>
      </w:r>
      <w:r>
        <w:t xml:space="preserve"> </w:t>
      </w:r>
      <w:r>
        <w:rPr>
          <w:iCs/>
          <w:i/>
        </w:rPr>
        <w:t xml:space="preserve">Domesday Project Technical Specifications</w:t>
      </w:r>
      <w:r>
        <w:t xml:space="preserve">. Internal documentation.</w:t>
      </w:r>
    </w:p>
    <w:p>
      <w:pPr>
        <w:numPr>
          <w:ilvl w:val="1"/>
          <w:numId w:val="1010"/>
        </w:numPr>
        <w:pStyle w:val="Compact"/>
      </w:pPr>
      <w:r>
        <w:t xml:space="preserve">Original technical specs for the BBC Domesday Project hardware and software.</w:t>
      </w:r>
    </w:p>
    <w:p>
      <w:pPr>
        <w:numPr>
          <w:ilvl w:val="0"/>
          <w:numId w:val="1009"/>
        </w:numPr>
        <w:pStyle w:val="Compact"/>
      </w:pPr>
      <w:r>
        <w:t xml:space="preserve">Philips Electronics (1980s).</w:t>
      </w:r>
      <w:r>
        <w:t xml:space="preserve"> </w:t>
      </w:r>
      <w:r>
        <w:rPr>
          <w:iCs/>
          <w:i/>
        </w:rPr>
        <w:t xml:space="preserve">LaserVision Technical Manual</w:t>
      </w:r>
      <w:r>
        <w:t xml:space="preserve">.</w:t>
      </w:r>
    </w:p>
    <w:p>
      <w:pPr>
        <w:numPr>
          <w:ilvl w:val="1"/>
          <w:numId w:val="1011"/>
        </w:numPr>
        <w:pStyle w:val="Compact"/>
      </w:pPr>
      <w:r>
        <w:t xml:space="preserve">LaserDisc player specifications and data encoding.</w:t>
      </w:r>
    </w:p>
    <w:p>
      <w:r>
        <w:pict>
          <v:rect style="width:0;height:1.5pt" o:hralign="center" o:hrstd="t" o:hr="t"/>
        </w:pict>
      </w:r>
    </w:p>
    <w:bookmarkEnd w:id="22"/>
    <w:bookmarkStart w:id="23" w:name="the-original-domesday-book-1086"/>
    <w:p>
      <w:pPr>
        <w:pStyle w:val="Heading2"/>
      </w:pPr>
      <w:r>
        <w:t xml:space="preserve">The Original Domesday Book (1086)</w:t>
      </w:r>
    </w:p>
    <w:p>
      <w:pPr>
        <w:numPr>
          <w:ilvl w:val="0"/>
          <w:numId w:val="1012"/>
        </w:numPr>
        <w:pStyle w:val="Compact"/>
      </w:pPr>
      <w:r>
        <w:t xml:space="preserve">UK National Archives.</w:t>
      </w:r>
      <w:r>
        <w:t xml:space="preserve"> </w:t>
      </w:r>
      <w:r>
        <w:rPr>
          <w:iCs/>
          <w:i/>
        </w:rPr>
        <w:t xml:space="preserve">Domesday Book</w:t>
      </w:r>
      <w:r>
        <w:t xml:space="preserve"> </w:t>
      </w:r>
      <w:r>
        <w:t xml:space="preserve">(1086). London: The National Archives.</w:t>
      </w:r>
    </w:p>
    <w:p>
      <w:pPr>
        <w:numPr>
          <w:ilvl w:val="1"/>
          <w:numId w:val="1013"/>
        </w:numPr>
        <w:pStyle w:val="Compact"/>
      </w:pPr>
      <w:r>
        <w:t xml:space="preserve">Original medieval manuscript; available for viewing in the National Archives.</w:t>
      </w:r>
    </w:p>
    <w:p>
      <w:pPr>
        <w:numPr>
          <w:ilvl w:val="0"/>
          <w:numId w:val="1012"/>
        </w:numPr>
        <w:pStyle w:val="Compact"/>
      </w:pPr>
      <w:r>
        <w:t xml:space="preserve">Hallam, Elizabeth M., ed. (1986).</w:t>
      </w:r>
      <w:r>
        <w:t xml:space="preserve"> </w:t>
      </w:r>
      <w:r>
        <w:rPr>
          <w:iCs/>
          <w:i/>
        </w:rPr>
        <w:t xml:space="preserve">Domesday Book Through Nine Centuries</w:t>
      </w:r>
      <w:r>
        <w:t xml:space="preserve">. London: Thames and Hudson.</w:t>
      </w:r>
    </w:p>
    <w:p>
      <w:pPr>
        <w:numPr>
          <w:ilvl w:val="1"/>
          <w:numId w:val="1014"/>
        </w:numPr>
        <w:pStyle w:val="Compact"/>
      </w:pPr>
      <w:r>
        <w:t xml:space="preserve">Historical analysis of the original Domesday Book and its preservation.</w:t>
      </w:r>
    </w:p>
    <w:p>
      <w:pPr>
        <w:numPr>
          <w:ilvl w:val="0"/>
          <w:numId w:val="1012"/>
        </w:numPr>
        <w:pStyle w:val="Compact"/>
      </w:pPr>
      <w:r>
        <w:t xml:space="preserve">Roffe, David (2000).</w:t>
      </w:r>
      <w:r>
        <w:t xml:space="preserve"> </w:t>
      </w:r>
      <w:r>
        <w:rPr>
          <w:iCs/>
          <w:i/>
        </w:rPr>
        <w:t xml:space="preserve">Domesday: The Inquest and the Book</w:t>
      </w:r>
      <w:r>
        <w:t xml:space="preserve">. Oxford University Press.</w:t>
      </w:r>
    </w:p>
    <w:p>
      <w:pPr>
        <w:numPr>
          <w:ilvl w:val="1"/>
          <w:numId w:val="1015"/>
        </w:numPr>
        <w:pStyle w:val="Compact"/>
      </w:pPr>
      <w:r>
        <w:t xml:space="preserve">Scholarly study of the creation and purpose of the 1086 Domesday Book.</w:t>
      </w:r>
    </w:p>
    <w:p>
      <w:r>
        <w:pict>
          <v:rect style="width:0;height:1.5pt" o:hralign="center" o:hrstd="t" o:hr="t"/>
        </w:pict>
      </w:r>
    </w:p>
    <w:bookmarkEnd w:id="23"/>
    <w:bookmarkStart w:id="24" w:name="digital-preservation-theory-and-practice"/>
    <w:p>
      <w:pPr>
        <w:pStyle w:val="Heading2"/>
      </w:pPr>
      <w:r>
        <w:t xml:space="preserve">Digital Preservation Theory and Practice</w:t>
      </w:r>
    </w:p>
    <w:p>
      <w:pPr>
        <w:numPr>
          <w:ilvl w:val="0"/>
          <w:numId w:val="1016"/>
        </w:numPr>
        <w:pStyle w:val="Compact"/>
      </w:pPr>
      <w:r>
        <w:t xml:space="preserve">Rothenberg, Jeff (1999).</w:t>
      </w:r>
      <w:r>
        <w:t xml:space="preserve"> </w:t>
      </w:r>
      <w:r>
        <w:t xml:space="preserve">“</w:t>
      </w:r>
      <w:r>
        <w:t xml:space="preserve">Avoiding Technological Quicksand: Finding a Viable Technical Foundation for Digital Preservation.</w:t>
      </w:r>
      <w:r>
        <w:t xml:space="preserve">”</w:t>
      </w:r>
      <w:r>
        <w:t xml:space="preserve"> </w:t>
      </w:r>
      <w:r>
        <w:t xml:space="preserve">Council on Library and Information Resources.</w:t>
      </w:r>
    </w:p>
    <w:p>
      <w:pPr>
        <w:numPr>
          <w:ilvl w:val="1"/>
          <w:numId w:val="1017"/>
        </w:numPr>
        <w:pStyle w:val="Compact"/>
      </w:pPr>
      <w:r>
        <w:t xml:space="preserve">Seminal paper on digital preservation challenges; advocates for emulation.</w:t>
      </w:r>
    </w:p>
    <w:p>
      <w:pPr>
        <w:numPr>
          <w:ilvl w:val="0"/>
          <w:numId w:val="1016"/>
        </w:numPr>
        <w:pStyle w:val="Compact"/>
      </w:pPr>
      <w:r>
        <w:t xml:space="preserve">Lynch, Clifford (1999).</w:t>
      </w:r>
      <w:r>
        <w:t xml:space="preserve"> </w:t>
      </w:r>
      <w:r>
        <w:t xml:space="preserve">“</w:t>
      </w:r>
      <w:r>
        <w:t xml:space="preserve">Canonicalization: A Fundamental Tool to Facilitate Preservation and Management of Digital Information.</w:t>
      </w:r>
      <w:r>
        <w:t xml:space="preserve">”</w:t>
      </w:r>
      <w:r>
        <w:t xml:space="preserve"> </w:t>
      </w:r>
      <w:r>
        <w:rPr>
          <w:iCs/>
          <w:i/>
        </w:rPr>
        <w:t xml:space="preserve">D-Lib Magazine</w:t>
      </w:r>
      <w:r>
        <w:t xml:space="preserve"> </w:t>
      </w:r>
      <w:r>
        <w:t xml:space="preserve">5(9).</w:t>
      </w:r>
    </w:p>
    <w:p>
      <w:pPr>
        <w:numPr>
          <w:ilvl w:val="1"/>
          <w:numId w:val="1018"/>
        </w:numPr>
        <w:pStyle w:val="Compact"/>
      </w:pPr>
      <w:r>
        <w:t xml:space="preserve">Framework for managing format diversity and obsolescence.</w:t>
      </w:r>
    </w:p>
    <w:p>
      <w:pPr>
        <w:numPr>
          <w:ilvl w:val="0"/>
          <w:numId w:val="1016"/>
        </w:numPr>
        <w:pStyle w:val="Compact"/>
      </w:pPr>
      <w:r>
        <w:t xml:space="preserve">Lavoie, Brian (2014).</w:t>
      </w:r>
      <w:r>
        <w:t xml:space="preserve"> </w:t>
      </w:r>
      <w:r>
        <w:t xml:space="preserve">“</w:t>
      </w:r>
      <w:r>
        <w:t xml:space="preserve">The Open Archival Information System (OAIS) Reference Model: Introductory Guide,</w:t>
      </w:r>
      <w:r>
        <w:t xml:space="preserve">”</w:t>
      </w:r>
      <w:r>
        <w:t xml:space="preserve"> </w:t>
      </w:r>
      <w:r>
        <w:t xml:space="preserve">2nd ed. Digital Preservation Coalition.</w:t>
      </w:r>
    </w:p>
    <w:p>
      <w:pPr>
        <w:numPr>
          <w:ilvl w:val="1"/>
          <w:numId w:val="1019"/>
        </w:numPr>
        <w:pStyle w:val="Compact"/>
      </w:pPr>
      <w:r>
        <w:t xml:space="preserve">Standard model for digital archiving and long-term preservation.</w:t>
      </w:r>
    </w:p>
    <w:p>
      <w:r>
        <w:pict>
          <v:rect style="width:0;height:1.5pt" o:hralign="center" o:hrstd="t" o:hr="t"/>
        </w:pict>
      </w:r>
    </w:p>
    <w:bookmarkEnd w:id="24"/>
    <w:bookmarkStart w:id="25" w:name="format-obsolescence-and-migration"/>
    <w:p>
      <w:pPr>
        <w:pStyle w:val="Heading2"/>
      </w:pPr>
      <w:r>
        <w:t xml:space="preserve">Format Obsolescence and Migration</w:t>
      </w:r>
    </w:p>
    <w:p>
      <w:pPr>
        <w:numPr>
          <w:ilvl w:val="0"/>
          <w:numId w:val="1020"/>
        </w:numPr>
        <w:pStyle w:val="Compact"/>
      </w:pPr>
      <w:r>
        <w:t xml:space="preserve">Lawrence, Gregory W., et al. (2000).</w:t>
      </w:r>
      <w:r>
        <w:t xml:space="preserve"> </w:t>
      </w:r>
      <w:r>
        <w:t xml:space="preserve">“</w:t>
      </w:r>
      <w:r>
        <w:t xml:space="preserve">Risk Management of Digital Information: A File Format Investigation.</w:t>
      </w:r>
      <w:r>
        <w:t xml:space="preserve">”</w:t>
      </w:r>
      <w:r>
        <w:t xml:space="preserve"> </w:t>
      </w:r>
      <w:r>
        <w:t xml:space="preserve">Council on Library and Information Resources.</w:t>
      </w:r>
    </w:p>
    <w:p>
      <w:pPr>
        <w:numPr>
          <w:ilvl w:val="1"/>
          <w:numId w:val="1021"/>
        </w:numPr>
        <w:pStyle w:val="Compact"/>
      </w:pPr>
      <w:r>
        <w:t xml:space="preserve">Analysis of file format longevity and obsolescence risk.</w:t>
      </w:r>
    </w:p>
    <w:p>
      <w:pPr>
        <w:numPr>
          <w:ilvl w:val="0"/>
          <w:numId w:val="1020"/>
        </w:numPr>
        <w:pStyle w:val="Compact"/>
      </w:pPr>
      <w:r>
        <w:t xml:space="preserve">Digital Preservation Coalition (2008).</w:t>
      </w:r>
      <w:r>
        <w:t xml:space="preserve"> </w:t>
      </w:r>
      <w:r>
        <w:rPr>
          <w:iCs/>
          <w:i/>
        </w:rPr>
        <w:t xml:space="preserve">Preservation Management of Digital Materials: The Handbook</w:t>
      </w:r>
      <w:r>
        <w:t xml:space="preserve">. York, UK: Digital Preservation Coalition.</w:t>
      </w:r>
    </w:p>
    <w:p>
      <w:pPr>
        <w:numPr>
          <w:ilvl w:val="1"/>
          <w:numId w:val="1022"/>
        </w:numPr>
        <w:pStyle w:val="Compact"/>
      </w:pPr>
      <w:r>
        <w:t xml:space="preserve">Comprehensive guide to digital preservation strategies.</w:t>
      </w:r>
    </w:p>
    <w:p>
      <w:r>
        <w:pict>
          <v:rect style="width:0;height:1.5pt" o:hralign="center" o:hrstd="t" o:hr="t"/>
        </w:pict>
      </w:r>
    </w:p>
    <w:bookmarkEnd w:id="25"/>
    <w:bookmarkStart w:id="26" w:name="analog-vs.-digital-longevity"/>
    <w:p>
      <w:pPr>
        <w:pStyle w:val="Heading2"/>
      </w:pPr>
      <w:r>
        <w:t xml:space="preserve">Analog vs. Digital Longevity</w:t>
      </w:r>
    </w:p>
    <w:p>
      <w:pPr>
        <w:numPr>
          <w:ilvl w:val="0"/>
          <w:numId w:val="1023"/>
        </w:numPr>
        <w:pStyle w:val="Compact"/>
      </w:pPr>
      <w:r>
        <w:t xml:space="preserve">Brand, Stewart (1999).</w:t>
      </w:r>
      <w:r>
        <w:t xml:space="preserve"> </w:t>
      </w:r>
      <w:r>
        <w:rPr>
          <w:iCs/>
          <w:i/>
        </w:rPr>
        <w:t xml:space="preserve">The Clock of the Long Now: Time and Responsibility</w:t>
      </w:r>
      <w:r>
        <w:t xml:space="preserve">. New York: Basic Books.</w:t>
      </w:r>
    </w:p>
    <w:p>
      <w:pPr>
        <w:numPr>
          <w:ilvl w:val="1"/>
          <w:numId w:val="1024"/>
        </w:numPr>
        <w:pStyle w:val="Compact"/>
      </w:pPr>
      <w:r>
        <w:t xml:space="preserve">Philosophical and practical discussion of long-term thinking; includes digital vs. analog preservation.</w:t>
      </w:r>
    </w:p>
    <w:p>
      <w:pPr>
        <w:numPr>
          <w:ilvl w:val="0"/>
          <w:numId w:val="1023"/>
        </w:numPr>
        <w:pStyle w:val="Compact"/>
      </w:pPr>
      <w:r>
        <w:t xml:space="preserve">Gladney, H.M. (2007).</w:t>
      </w:r>
      <w:r>
        <w:t xml:space="preserve"> </w:t>
      </w:r>
      <w:r>
        <w:rPr>
          <w:iCs/>
          <w:i/>
        </w:rPr>
        <w:t xml:space="preserve">Preserving Digital Information</w:t>
      </w:r>
      <w:r>
        <w:t xml:space="preserve">. Berlin: Springer.</w:t>
      </w:r>
    </w:p>
    <w:p>
      <w:pPr>
        <w:numPr>
          <w:ilvl w:val="1"/>
          <w:numId w:val="1025"/>
        </w:numPr>
        <w:pStyle w:val="Compact"/>
      </w:pPr>
      <w:r>
        <w:t xml:space="preserve">Comprehensive technical and policy discussion of digital preservation.</w:t>
      </w:r>
    </w:p>
    <w:p>
      <w:r>
        <w:pict>
          <v:rect style="width:0;height:1.5pt" o:hralign="center" o:hrstd="t" o:hr="t"/>
        </w:pict>
      </w:r>
    </w:p>
    <w:bookmarkEnd w:id="26"/>
    <w:bookmarkStart w:id="27" w:name="cif-and-technological-context"/>
    <w:p>
      <w:pPr>
        <w:pStyle w:val="Heading2"/>
      </w:pPr>
      <w:r>
        <w:t xml:space="preserve">CIF and Technological Context</w:t>
      </w:r>
    </w:p>
    <w:p>
      <w:pPr>
        <w:numPr>
          <w:ilvl w:val="0"/>
          <w:numId w:val="1026"/>
        </w:numPr>
        <w:pStyle w:val="Compact"/>
      </w:pPr>
      <w:r>
        <w:t xml:space="preserve">Conway, Paul (2000).</w:t>
      </w:r>
      <w:r>
        <w:t xml:space="preserve"> </w:t>
      </w:r>
      <w:r>
        <w:t xml:space="preserve">“</w:t>
      </w:r>
      <w:r>
        <w:t xml:space="preserve">Overview: Rationale for Digitization and Preservation.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Handbook for Digital Projects: A Management Tool for Preservation and Access</w:t>
      </w:r>
      <w:r>
        <w:t xml:space="preserve">. Andover, MA: Northeast Document Conservation Center.</w:t>
      </w:r>
    </w:p>
    <w:p>
      <w:pPr>
        <w:numPr>
          <w:ilvl w:val="1"/>
          <w:numId w:val="1027"/>
        </w:numPr>
        <w:pStyle w:val="Compact"/>
      </w:pPr>
      <w:r>
        <w:t xml:space="preserve">Context for digitization as both access and preservation strategy.</w:t>
      </w:r>
    </w:p>
    <w:p>
      <w:pPr>
        <w:numPr>
          <w:ilvl w:val="0"/>
          <w:numId w:val="1026"/>
        </w:numPr>
        <w:pStyle w:val="Compact"/>
      </w:pPr>
      <w:r>
        <w:t xml:space="preserve">Thibodeau, Kenneth (2002).</w:t>
      </w:r>
      <w:r>
        <w:t xml:space="preserve"> </w:t>
      </w:r>
      <w:r>
        <w:t xml:space="preserve">“</w:t>
      </w:r>
      <w:r>
        <w:t xml:space="preserve">Overview of Technological Approaches to Digital Preservation and Challenges in Coming Years.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The State of Digital Preservation: An International Perspective</w:t>
      </w:r>
      <w:r>
        <w:t xml:space="preserve">. Council on Library and Information Resources.</w:t>
      </w:r>
    </w:p>
    <w:p>
      <w:pPr>
        <w:numPr>
          <w:ilvl w:val="1"/>
          <w:numId w:val="1028"/>
        </w:numPr>
        <w:pStyle w:val="Compact"/>
      </w:pPr>
      <w:r>
        <w:t xml:space="preserve">Comparative analysis of migration, emulation, and other preservation strategies.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2026-07-28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CIF Recovery Systems Test Series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Derek Hone · Remnant Fieldworks Inc.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2026-07-28T17:52:56Z</dcterms:created>
  <dcterms:modified xsi:type="dcterms:W3CDTF">2026-07-28T17:52:56Z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