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9b61677a3512e9dca93e099e3ceb3a173621ae"/>
    <w:p>
      <w:pPr>
        <w:pStyle w:val="Heading1"/>
      </w:pPr>
      <w:r>
        <w:t xml:space="preserve">Sources — Case Study #1: The Giza Transmission Hypothesis</w:t>
      </w:r>
    </w:p>
    <w:p>
      <w:pPr>
        <w:pStyle w:val="FirstParagraph"/>
      </w:pPr>
      <w:r>
        <w:rPr>
          <w:bCs/>
          <w:b/>
        </w:rPr>
        <w:t xml:space="preserve">Note on framing.</w:t>
      </w:r>
      <w:r>
        <w:t xml:space="preserve"> </w:t>
      </w:r>
      <w:r>
        <w:t xml:space="preserve">Case Study #1 is an explicitly</w:t>
      </w:r>
      <w:r>
        <w:t xml:space="preserve"> </w:t>
      </w:r>
      <w:r>
        <w:rPr>
          <w:bCs/>
          <w:b/>
        </w:rPr>
        <w:t xml:space="preserve">speculative thought experiment</w:t>
      </w:r>
      <w:r>
        <w:t xml:space="preserve">, not an empirical claim. Its purpose is to</w:t>
      </w:r>
      <w:r>
        <w:t xml:space="preserve"> </w:t>
      </w:r>
      <w:r>
        <w:rPr>
          <w:iCs/>
          <w:i/>
        </w:rPr>
        <w:t xml:space="preserve">pose</w:t>
      </w:r>
      <w:r>
        <w:t xml:space="preserve"> </w:t>
      </w:r>
      <w:r>
        <w:t xml:space="preserve">the deep-time transmission question that the rest of the series then tests against real evidence. Accordingly, the mainstream Egyptological position is treated as ESTABLISHED, and the</w:t>
      </w:r>
      <w:r>
        <w:t xml:space="preserve"> </w:t>
      </w:r>
      <w:r>
        <w:t xml:space="preserve">“</w:t>
      </w:r>
      <w:r>
        <w:t xml:space="preserve">transmission hypothesis</w:t>
      </w:r>
      <w:r>
        <w:t xml:space="preserve">”</w:t>
      </w:r>
      <w:r>
        <w:t xml:space="preserve"> </w:t>
      </w:r>
      <w:r>
        <w:t xml:space="preserve">itself is treated as SPECULATIVE throughout. No fringe claim is asserted as fact, and no invented statistics are used.</w:t>
      </w:r>
    </w:p>
    <w:bookmarkStart w:id="20" w:name="Xdb3c44708460674cbe5723654345037cd3ff117"/>
    <w:p>
      <w:pPr>
        <w:pStyle w:val="Heading2"/>
      </w:pPr>
      <w:r>
        <w:t xml:space="preserve">Mainstream Egyptological anchors (ESTABLISHED)</w:t>
      </w:r>
    </w:p>
    <w:p>
      <w:pPr>
        <w:pStyle w:val="FirstParagraph"/>
      </w:pPr>
      <w:r>
        <w:t xml:space="preserve">The established consensus the thought experiment rests on — that the Giza pyramids are Old Kingdom royal funerary monuments of the Fourth Dynasty (c. 2600–2500 BCE), built by an organized state workforce — is drawn from the standard reference literature:</w:t>
      </w:r>
    </w:p>
    <w:p>
      <w:pPr>
        <w:numPr>
          <w:ilvl w:val="0"/>
          <w:numId w:val="1001"/>
        </w:numPr>
        <w:pStyle w:val="Compact"/>
      </w:pPr>
      <w:r>
        <w:t xml:space="preserve">Lehner, M. (1997).</w:t>
      </w:r>
      <w:r>
        <w:t xml:space="preserve"> </w:t>
      </w:r>
      <w:r>
        <w:rPr>
          <w:iCs/>
          <w:i/>
        </w:rPr>
        <w:t xml:space="preserve">The Complete Pyramids</w:t>
      </w:r>
      <w:r>
        <w:t xml:space="preserve">. London: Thames &amp; Hudson. — Standard synthesis of pyramid construction, chronology, and function.</w:t>
      </w:r>
    </w:p>
    <w:p>
      <w:pPr>
        <w:numPr>
          <w:ilvl w:val="0"/>
          <w:numId w:val="1001"/>
        </w:numPr>
        <w:pStyle w:val="Compact"/>
      </w:pPr>
      <w:r>
        <w:t xml:space="preserve">Verner, M. (2001).</w:t>
      </w:r>
      <w:r>
        <w:t xml:space="preserve"> </w:t>
      </w:r>
      <w:r>
        <w:rPr>
          <w:iCs/>
          <w:i/>
        </w:rPr>
        <w:t xml:space="preserve">The Pyramids: The Mystery, Culture, and Science of Egypt’s Great Monuments</w:t>
      </w:r>
      <w:r>
        <w:t xml:space="preserve">. New York: Grove Press. — Comprehensive scholarly overview of the pyramid complexes.</w:t>
      </w:r>
    </w:p>
    <w:p>
      <w:pPr>
        <w:numPr>
          <w:ilvl w:val="0"/>
          <w:numId w:val="1001"/>
        </w:numPr>
        <w:pStyle w:val="Compact"/>
      </w:pPr>
      <w:r>
        <w:t xml:space="preserve">Petrie, W. M. F. (1883).</w:t>
      </w:r>
      <w:r>
        <w:t xml:space="preserve"> </w:t>
      </w:r>
      <w:r>
        <w:rPr>
          <w:iCs/>
          <w:i/>
        </w:rPr>
        <w:t xml:space="preserve">The Pyramids and Temples of Gizeh</w:t>
      </w:r>
      <w:r>
        <w:t xml:space="preserve">. London: Field &amp; Tuer. — The foundational precision survey of the Giza plateau; source of the baseline metrology.</w:t>
      </w:r>
    </w:p>
    <w:p>
      <w:pPr>
        <w:numPr>
          <w:ilvl w:val="0"/>
          <w:numId w:val="1001"/>
        </w:numPr>
        <w:pStyle w:val="Compact"/>
      </w:pPr>
      <w:r>
        <w:t xml:space="preserve">Romer, J. (2007).</w:t>
      </w:r>
      <w:r>
        <w:t xml:space="preserve"> </w:t>
      </w:r>
      <w:r>
        <w:rPr>
          <w:iCs/>
          <w:i/>
        </w:rPr>
        <w:t xml:space="preserve">The Great Pyramid: Ancient Egypt Revisited</w:t>
      </w:r>
      <w:r>
        <w:t xml:space="preserve">. Cambridge: Cambridge University Press. — Detailed reconstruction of construction method and organization.</w:t>
      </w:r>
    </w:p>
    <w:p>
      <w:pPr>
        <w:numPr>
          <w:ilvl w:val="0"/>
          <w:numId w:val="1001"/>
        </w:numPr>
        <w:pStyle w:val="Compact"/>
      </w:pPr>
      <w:r>
        <w:t xml:space="preserve">Ancient Egypt Research Associates (AERA) / Lehner, M. — ongoing excavation and publication of the Giza workers’ settlement (</w:t>
      </w:r>
      <w:r>
        <w:t xml:space="preserve">“</w:t>
      </w:r>
      <w:r>
        <w:t xml:space="preserve">Heit el-Ghurab</w:t>
      </w:r>
      <w:r>
        <w:t xml:space="preserve">”</w:t>
      </w:r>
      <w:r>
        <w:t xml:space="preserve">), establishing the labor organization behind the monuments.</w:t>
      </w:r>
    </w:p>
    <w:bookmarkEnd w:id="20"/>
    <w:bookmarkStart w:id="21" w:name="Xde79c0244f2f16cee77f5b948973b55b6fa32fd"/>
    <w:p>
      <w:pPr>
        <w:pStyle w:val="Heading2"/>
      </w:pPr>
      <w:r>
        <w:t xml:space="preserve">Metrology and reproducible-reference discussion (context)</w:t>
      </w:r>
    </w:p>
    <w:p>
      <w:pPr>
        <w:numPr>
          <w:ilvl w:val="0"/>
          <w:numId w:val="1002"/>
        </w:numPr>
        <w:pStyle w:val="Compact"/>
      </w:pPr>
      <w:r>
        <w:t xml:space="preserve">The case study’s treatment of physical reference units and reproducible measurement is a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argument (how a civilization might anchor units to reproducible physical constants), not a claim that the builders did so. It is presented as PLAUSIBLE INFERENCE / SPECULATIVE and should not be read as an assertion about Old Kingdom practice.</w:t>
      </w:r>
    </w:p>
    <w:bookmarkEnd w:id="21"/>
    <w:bookmarkStart w:id="23" w:name="publication-record"/>
    <w:p>
      <w:pPr>
        <w:pStyle w:val="Heading2"/>
      </w:pPr>
      <w:r>
        <w:t xml:space="preserve">Publication record</w:t>
      </w:r>
    </w:p>
    <w:p>
      <w:pPr>
        <w:numPr>
          <w:ilvl w:val="0"/>
          <w:numId w:val="1003"/>
        </w:numPr>
        <w:pStyle w:val="Compact"/>
      </w:pPr>
      <w:r>
        <w:t xml:space="preserve">Hone, D. (2026).</w:t>
      </w:r>
      <w:r>
        <w:t xml:space="preserve"> </w:t>
      </w:r>
      <w:r>
        <w:rPr>
          <w:iCs/>
          <w:i/>
        </w:rPr>
        <w:t xml:space="preserve">The Giza Transmission Hypothesis: A Coherent Inheritance Framework Thought Experiment in Deep-Time Information Preservation</w:t>
      </w:r>
      <w:r>
        <w:t xml:space="preserve">. Remnant Fieldworks Inc. DOI:</w:t>
      </w:r>
      <w:r>
        <w:t xml:space="preserve"> </w:t>
      </w:r>
      <w:hyperlink r:id="rId22">
        <w:r>
          <w:rPr>
            <w:rStyle w:val="Hyperlink"/>
          </w:rPr>
          <w:t xml:space="preserve">10.5281/zenodo.21618896</w:t>
        </w:r>
      </w:hyperlink>
      <w:r>
        <w:t xml:space="preserve">.</w:t>
      </w:r>
    </w:p>
    <w:bookmarkEnd w:id="23"/>
    <w:bookmarkStart w:id="24" w:name="notes-on-evidence-handling"/>
    <w:p>
      <w:pPr>
        <w:pStyle w:val="Heading2"/>
      </w:pPr>
      <w:r>
        <w:t xml:space="preserve">Notes on evidence handling</w:t>
      </w:r>
    </w:p>
    <w:p>
      <w:pPr>
        <w:numPr>
          <w:ilvl w:val="0"/>
          <w:numId w:val="1004"/>
        </w:numPr>
        <w:pStyle w:val="Compact"/>
      </w:pPr>
      <w:r>
        <w:t xml:space="preserve">ESTABLISHED: the dating, function (royal tombs), and construction context of the Giza pyramids, per the mainstream references above.</w:t>
      </w:r>
    </w:p>
    <w:p>
      <w:pPr>
        <w:numPr>
          <w:ilvl w:val="0"/>
          <w:numId w:val="1004"/>
        </w:numPr>
        <w:pStyle w:val="Compact"/>
      </w:pPr>
      <w:r>
        <w:t xml:space="preserve">SPECULATIVE: the hypothesis that the monument was intended to, or does, transmit meaning to the distant future. This is the thought-experiment core and is labeled speculative wherever it appears.</w:t>
      </w:r>
    </w:p>
    <w:p>
      <w:pPr>
        <w:numPr>
          <w:ilvl w:val="0"/>
          <w:numId w:val="1004"/>
        </w:numPr>
        <w:pStyle w:val="Compact"/>
      </w:pPr>
      <w:r>
        <w:t xml:space="preserve">The case study makes no</w:t>
      </w:r>
      <w:r>
        <w:t xml:space="preserve"> </w:t>
      </w:r>
      <w:r>
        <w:t xml:space="preserve">“</w:t>
      </w:r>
      <w:r>
        <w:t xml:space="preserve">lost civilization,</w:t>
      </w:r>
      <w:r>
        <w:t xml:space="preserve">”</w:t>
      </w:r>
      <w:r>
        <w:t xml:space="preserve"> </w:t>
      </w:r>
      <w:r>
        <w:t xml:space="preserve">“</w:t>
      </w:r>
      <w:r>
        <w:t xml:space="preserve">ancient advanced technology,</w:t>
      </w:r>
      <w:r>
        <w:t xml:space="preserve">”</w:t>
      </w:r>
      <w:r>
        <w:t xml:space="preserve"> </w:t>
      </w:r>
      <w:r>
        <w:t xml:space="preserve">or pseudo-archaeological claims, and none of the sources above support such claims.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i.org/10.5281/zenodo.2161889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5281/zenodo.2161889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2026-07-27T15:13:22Z</dcterms:created>
  <dcterms:modified xsi:type="dcterms:W3CDTF">2026-07-27T15:13:22Z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