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sources-the-rosetta-stone"/>
    <w:p>
      <w:pPr>
        <w:pStyle w:val="Heading1"/>
      </w:pPr>
      <w:r>
        <w:t xml:space="preserve">Sources — The Rosetta Stone</w:t>
      </w:r>
    </w:p>
    <w:bookmarkStart w:id="20" w:name="primary-historical-source"/>
    <w:p>
      <w:pPr>
        <w:pStyle w:val="Heading2"/>
      </w:pPr>
      <w:r>
        <w:t xml:space="preserve">Primary Historical Source</w:t>
      </w:r>
    </w:p>
    <w:p>
      <w:pPr>
        <w:numPr>
          <w:ilvl w:val="0"/>
          <w:numId w:val="1001"/>
        </w:numPr>
        <w:pStyle w:val="Compact"/>
      </w:pPr>
      <w:r>
        <w:t xml:space="preserve">Champollion, J.-F. (1822).</w:t>
      </w:r>
      <w:r>
        <w:t xml:space="preserve"> </w:t>
      </w:r>
      <w:r>
        <w:rPr>
          <w:iCs/>
          <w:i/>
        </w:rPr>
        <w:t xml:space="preserve">Lettre à M. Dacier relative à l’alphabet des hiéroglyphes phonétiques</w:t>
      </w:r>
      <w:r>
        <w:t xml:space="preserve">. Paris: Firmin Didot.</w:t>
      </w:r>
    </w:p>
    <w:bookmarkEnd w:id="20"/>
    <w:bookmarkStart w:id="21" w:name="scholarly-monographs-and-biographies"/>
    <w:p>
      <w:pPr>
        <w:pStyle w:val="Heading2"/>
      </w:pPr>
      <w:r>
        <w:t xml:space="preserve">Scholarly Monographs and Biographies</w:t>
      </w:r>
    </w:p>
    <w:p>
      <w:pPr>
        <w:numPr>
          <w:ilvl w:val="0"/>
          <w:numId w:val="1002"/>
        </w:numPr>
      </w:pPr>
      <w:r>
        <w:t xml:space="preserve">Robinson, A. (2012).</w:t>
      </w:r>
      <w:r>
        <w:t xml:space="preserve"> </w:t>
      </w:r>
      <w:r>
        <w:rPr>
          <w:iCs/>
          <w:i/>
        </w:rPr>
        <w:t xml:space="preserve">Cracking the Egyptian Code: The Revolutionary Life of Jean-François Champollion</w:t>
      </w:r>
      <w:r>
        <w:t xml:space="preserve">. London: Thames &amp; Hudson / New York: Oxford University Press.</w:t>
      </w:r>
    </w:p>
    <w:p>
      <w:pPr>
        <w:numPr>
          <w:ilvl w:val="0"/>
          <w:numId w:val="1002"/>
        </w:numPr>
      </w:pPr>
      <w:r>
        <w:t xml:space="preserve">Ray, J. (2007).</w:t>
      </w:r>
      <w:r>
        <w:t xml:space="preserve"> </w:t>
      </w:r>
      <w:r>
        <w:rPr>
          <w:iCs/>
          <w:i/>
        </w:rPr>
        <w:t xml:space="preserve">The Rosetta Stone and the Rebirth of Ancient Egypt</w:t>
      </w:r>
      <w:r>
        <w:t xml:space="preserve">. London: Profile Books.</w:t>
      </w:r>
    </w:p>
    <w:p>
      <w:pPr>
        <w:numPr>
          <w:ilvl w:val="0"/>
          <w:numId w:val="1002"/>
        </w:numPr>
      </w:pPr>
      <w:r>
        <w:t xml:space="preserve">Parkinson, R. (1999).</w:t>
      </w:r>
      <w:r>
        <w:t xml:space="preserve"> </w:t>
      </w:r>
      <w:r>
        <w:rPr>
          <w:iCs/>
          <w:i/>
        </w:rPr>
        <w:t xml:space="preserve">Cracking Codes: The Rosetta Stone and Decipherment</w:t>
      </w:r>
      <w:r>
        <w:t xml:space="preserve">. London: British Museum Press.</w:t>
      </w:r>
    </w:p>
    <w:p>
      <w:pPr>
        <w:numPr>
          <w:ilvl w:val="0"/>
          <w:numId w:val="1002"/>
        </w:numPr>
      </w:pPr>
      <w:r>
        <w:t xml:space="preserve">Chadwick, J. (1987).</w:t>
      </w:r>
      <w:r>
        <w:t xml:space="preserve"> </w:t>
      </w:r>
      <w:r>
        <w:rPr>
          <w:iCs/>
          <w:i/>
        </w:rPr>
        <w:t xml:space="preserve">Reading the Past: Ancient Writing from Cuneiform to the Alphabet</w:t>
      </w:r>
      <w:r>
        <w:t xml:space="preserve">. London: British Museum Press.</w:t>
      </w:r>
    </w:p>
    <w:p>
      <w:pPr>
        <w:numPr>
          <w:ilvl w:val="0"/>
          <w:numId w:val="1002"/>
        </w:numPr>
      </w:pPr>
      <w:r>
        <w:t xml:space="preserve">Robinson, A. (2006).</w:t>
      </w:r>
      <w:r>
        <w:t xml:space="preserve"> </w:t>
      </w:r>
      <w:r>
        <w:rPr>
          <w:iCs/>
          <w:i/>
        </w:rPr>
        <w:t xml:space="preserve">The Last Man Who Knew Everything: Thomas Young, the Anonymous Polymath Who Proved Newton Wrong, Explained How We See, Cured the Sick, and Deciphered the Rosetta Stone</w:t>
      </w:r>
      <w:r>
        <w:t xml:space="preserve">. New York: Pi Press.</w:t>
      </w:r>
    </w:p>
    <w:bookmarkEnd w:id="21"/>
    <w:bookmarkStart w:id="22" w:name="journal-articles-and-academic-papers"/>
    <w:p>
      <w:pPr>
        <w:pStyle w:val="Heading2"/>
      </w:pPr>
      <w:r>
        <w:t xml:space="preserve">Journal Articles and Academic Papers</w:t>
      </w:r>
    </w:p>
    <w:p>
      <w:pPr>
        <w:numPr>
          <w:ilvl w:val="0"/>
          <w:numId w:val="1003"/>
        </w:numPr>
      </w:pPr>
      <w:r>
        <w:t xml:space="preserve">Champollion, J.-F. (1824).</w:t>
      </w:r>
      <w:r>
        <w:t xml:space="preserve"> </w:t>
      </w:r>
      <w:r>
        <w:rPr>
          <w:iCs/>
          <w:i/>
        </w:rPr>
        <w:t xml:space="preserve">Précis du système hiéroglyphique des anciens Égyptiens</w:t>
      </w:r>
      <w:r>
        <w:t xml:space="preserve">. Paris: Imprimerie Royale.</w:t>
      </w:r>
    </w:p>
    <w:p>
      <w:pPr>
        <w:numPr>
          <w:ilvl w:val="0"/>
          <w:numId w:val="1003"/>
        </w:numPr>
      </w:pPr>
      <w:r>
        <w:t xml:space="preserve">Young, T. (1823).</w:t>
      </w:r>
      <w:r>
        <w:t xml:space="preserve"> </w:t>
      </w:r>
      <w:r>
        <w:rPr>
          <w:iCs/>
          <w:i/>
        </w:rPr>
        <w:t xml:space="preserve">An Account of Some Recent Discoveries in Hieroglyphical Literature and Egyptian Antiquities</w:t>
      </w:r>
      <w:r>
        <w:t xml:space="preserve">. London: John Murray.</w:t>
      </w:r>
    </w:p>
    <w:bookmarkEnd w:id="22"/>
    <w:bookmarkStart w:id="23" w:name="egyptological-and-linguistic-studies"/>
    <w:p>
      <w:pPr>
        <w:pStyle w:val="Heading2"/>
      </w:pPr>
      <w:r>
        <w:t xml:space="preserve">Egyptological and Linguistic Studies</w:t>
      </w:r>
    </w:p>
    <w:p>
      <w:pPr>
        <w:numPr>
          <w:ilvl w:val="0"/>
          <w:numId w:val="1004"/>
        </w:numPr>
      </w:pPr>
      <w:r>
        <w:t xml:space="preserve">Allen, J. P. (2014).</w:t>
      </w:r>
      <w:r>
        <w:t xml:space="preserve"> </w:t>
      </w:r>
      <w:r>
        <w:rPr>
          <w:iCs/>
          <w:i/>
        </w:rPr>
        <w:t xml:space="preserve">Middle Egyptian: An Introduction to the Language and Culture of Hieroglyphs</w:t>
      </w:r>
      <w:r>
        <w:t xml:space="preserve">. Cambridge: Cambridge University Press. (3rd edition)</w:t>
      </w:r>
    </w:p>
    <w:p>
      <w:pPr>
        <w:numPr>
          <w:ilvl w:val="0"/>
          <w:numId w:val="1004"/>
        </w:numPr>
      </w:pPr>
      <w:r>
        <w:t xml:space="preserve">Loprieno, A. (1995).</w:t>
      </w:r>
      <w:r>
        <w:t xml:space="preserve"> </w:t>
      </w:r>
      <w:r>
        <w:rPr>
          <w:iCs/>
          <w:i/>
        </w:rPr>
        <w:t xml:space="preserve">Ancient Egyptian: A Linguistic Introduction</w:t>
      </w:r>
      <w:r>
        <w:t xml:space="preserve">. Cambridge: Cambridge University Press.</w:t>
      </w:r>
    </w:p>
    <w:p>
      <w:pPr>
        <w:numPr>
          <w:ilvl w:val="0"/>
          <w:numId w:val="1004"/>
        </w:numPr>
      </w:pPr>
      <w:r>
        <w:t xml:space="preserve">Gardiner, A. (1957).</w:t>
      </w:r>
      <w:r>
        <w:t xml:space="preserve"> </w:t>
      </w:r>
      <w:r>
        <w:rPr>
          <w:iCs/>
          <w:i/>
        </w:rPr>
        <w:t xml:space="preserve">Egyptian Grammar: Being an Introduction to the Study of Hieroglyphs</w:t>
      </w:r>
      <w:r>
        <w:t xml:space="preserve">. Oxford: Griffith Institute. (3rd revised edition)</w:t>
      </w:r>
    </w:p>
    <w:bookmarkEnd w:id="23"/>
    <w:bookmarkStart w:id="24" w:name="historical-and-contextual-studies"/>
    <w:p>
      <w:pPr>
        <w:pStyle w:val="Heading2"/>
      </w:pPr>
      <w:r>
        <w:t xml:space="preserve">Historical and Contextual Studies</w:t>
      </w:r>
    </w:p>
    <w:p>
      <w:pPr>
        <w:numPr>
          <w:ilvl w:val="0"/>
          <w:numId w:val="1005"/>
        </w:numPr>
      </w:pPr>
      <w:r>
        <w:t xml:space="preserve">Thompson, J. (2015).</w:t>
      </w:r>
      <w:r>
        <w:t xml:space="preserve"> </w:t>
      </w:r>
      <w:r>
        <w:rPr>
          <w:iCs/>
          <w:i/>
        </w:rPr>
        <w:t xml:space="preserve">Wonderful Things: A History of Egyptology</w:t>
      </w:r>
      <w:r>
        <w:t xml:space="preserve">. Cairo: American University in Cairo Press.</w:t>
      </w:r>
    </w:p>
    <w:p>
      <w:pPr>
        <w:numPr>
          <w:ilvl w:val="0"/>
          <w:numId w:val="1005"/>
        </w:numPr>
      </w:pPr>
      <w:r>
        <w:t xml:space="preserve">Iversen, E. (1993).</w:t>
      </w:r>
      <w:r>
        <w:t xml:space="preserve"> </w:t>
      </w:r>
      <w:r>
        <w:rPr>
          <w:iCs/>
          <w:i/>
        </w:rPr>
        <w:t xml:space="preserve">The Myth of Egypt and its Hieroglyphs in European Tradition</w:t>
      </w:r>
      <w:r>
        <w:t xml:space="preserve">. Princeton, NJ: Princeton University Press.</w:t>
      </w:r>
    </w:p>
    <w:p>
      <w:pPr>
        <w:numPr>
          <w:ilvl w:val="0"/>
          <w:numId w:val="1005"/>
        </w:numPr>
      </w:pPr>
      <w:r>
        <w:t xml:space="preserve">Reid, D. M. (2002).</w:t>
      </w:r>
      <w:r>
        <w:t xml:space="preserve"> </w:t>
      </w:r>
      <w:r>
        <w:rPr>
          <w:iCs/>
          <w:i/>
        </w:rPr>
        <w:t xml:space="preserve">Whose Pharaohs? Archaeology, Museums, and Egyptian National Identity from Napoleon to World War I</w:t>
      </w:r>
      <w:r>
        <w:t xml:space="preserve">. Berkeley: University of California Press.</w:t>
      </w:r>
    </w:p>
    <w:bookmarkEnd w:id="24"/>
    <w:bookmarkStart w:id="25" w:name="coptic-language-and-its-role"/>
    <w:p>
      <w:pPr>
        <w:pStyle w:val="Heading2"/>
      </w:pPr>
      <w:r>
        <w:t xml:space="preserve">Coptic Language and Its Role</w:t>
      </w:r>
    </w:p>
    <w:p>
      <w:pPr>
        <w:numPr>
          <w:ilvl w:val="0"/>
          <w:numId w:val="1006"/>
        </w:numPr>
      </w:pPr>
      <w:r>
        <w:t xml:space="preserve">Černý, J. (1976).</w:t>
      </w:r>
      <w:r>
        <w:t xml:space="preserve"> </w:t>
      </w:r>
      <w:r>
        <w:rPr>
          <w:iCs/>
          <w:i/>
        </w:rPr>
        <w:t xml:space="preserve">Coptic Etymological Dictionary</w:t>
      </w:r>
      <w:r>
        <w:t xml:space="preserve">. Cambridge: Cambridge University Press.</w:t>
      </w:r>
    </w:p>
    <w:p>
      <w:pPr>
        <w:numPr>
          <w:ilvl w:val="0"/>
          <w:numId w:val="1006"/>
        </w:numPr>
      </w:pPr>
      <w:r>
        <w:t xml:space="preserve">Lambdin, T. O. (1983).</w:t>
      </w:r>
      <w:r>
        <w:t xml:space="preserve"> </w:t>
      </w:r>
      <w:r>
        <w:rPr>
          <w:iCs/>
          <w:i/>
        </w:rPr>
        <w:t xml:space="preserve">Introduction to Sahidic Coptic</w:t>
      </w:r>
      <w:r>
        <w:t xml:space="preserve">. Macon, GA: Mercer University Press.</w:t>
      </w:r>
    </w:p>
    <w:p>
      <w:pPr>
        <w:numPr>
          <w:ilvl w:val="0"/>
          <w:numId w:val="1006"/>
        </w:numPr>
      </w:pPr>
      <w:r>
        <w:t xml:space="preserve">Layton, B. (2011).</w:t>
      </w:r>
      <w:r>
        <w:t xml:space="preserve"> </w:t>
      </w:r>
      <w:r>
        <w:rPr>
          <w:iCs/>
          <w:i/>
        </w:rPr>
        <w:t xml:space="preserve">A Coptic Grammar</w:t>
      </w:r>
      <w:r>
        <w:t xml:space="preserve">. Wiesbaden: Harrassowitz Verlag. (3rd revised edition)</w:t>
      </w:r>
    </w:p>
    <w:bookmarkEnd w:id="25"/>
    <w:bookmarkStart w:id="26" w:name="digital-and-museum-resources"/>
    <w:p>
      <w:pPr>
        <w:pStyle w:val="Heading2"/>
      </w:pPr>
      <w:r>
        <w:t xml:space="preserve">Digital and Museum Resources</w:t>
      </w:r>
    </w:p>
    <w:p>
      <w:pPr>
        <w:numPr>
          <w:ilvl w:val="0"/>
          <w:numId w:val="1007"/>
        </w:numPr>
      </w:pPr>
      <w:r>
        <w:t xml:space="preserve">British Museum.</w:t>
      </w:r>
      <w:r>
        <w:t xml:space="preserve"> </w:t>
      </w:r>
      <w:r>
        <w:t xml:space="preserve">“</w:t>
      </w:r>
      <w:r>
        <w:t xml:space="preserve">The Rosetta Stone.</w:t>
      </w:r>
      <w:r>
        <w:t xml:space="preserve">”</w:t>
      </w:r>
      <w:r>
        <w:t xml:space="preserve"> </w:t>
      </w:r>
      <w:r>
        <w:t xml:space="preserve">Collection database. https://upload.wikimedia.org/wikipedia/commons/thumb/2/23/Rosetta_Stone.JPG/1280px-Rosetta_Stone.JPG</w:t>
      </w:r>
    </w:p>
    <w:p>
      <w:pPr>
        <w:numPr>
          <w:ilvl w:val="0"/>
          <w:numId w:val="1007"/>
        </w:numPr>
      </w:pPr>
      <w:r>
        <w:t xml:space="preserve">British Museum Blog.</w:t>
      </w:r>
      <w:r>
        <w:t xml:space="preserve"> </w:t>
      </w:r>
      <w:r>
        <w:t xml:space="preserve">“</w:t>
      </w:r>
      <w:r>
        <w:t xml:space="preserve">Everything you ever wanted to know about the Rosetta Stone.</w:t>
      </w:r>
      <w:r>
        <w:t xml:space="preserve">”</w:t>
      </w:r>
      <w:r>
        <w:t xml:space="preserve"> </w:t>
      </w:r>
      <w:r>
        <w:t xml:space="preserve">https://www.britishmuseum.org/blog/everything-you-ever-wanted-know-about-rosetta-stone</w:t>
      </w:r>
    </w:p>
    <w:p>
      <w:pPr>
        <w:numPr>
          <w:ilvl w:val="0"/>
          <w:numId w:val="1007"/>
        </w:numPr>
      </w:pPr>
      <w:r>
        <w:t xml:space="preserve">Ancient Egypt Research Associates (ARCE).</w:t>
      </w:r>
      <w:r>
        <w:t xml:space="preserve"> </w:t>
      </w:r>
      <w:r>
        <w:t xml:space="preserve">“</w:t>
      </w:r>
      <w:r>
        <w:t xml:space="preserve">The Rosetta Stone: Unlocking the Ancient Egyptian Language.</w:t>
      </w:r>
      <w:r>
        <w:t xml:space="preserve">”</w:t>
      </w:r>
      <w:r>
        <w:t xml:space="preserve"> </w:t>
      </w:r>
      <w:r>
        <w:t xml:space="preserve">https://arce.org/resource/rosetta-stone-unlocking-ancient-egyptian-language/</w:t>
      </w:r>
    </w:p>
    <w:bookmarkEnd w:id="26"/>
    <w:bookmarkStart w:id="27" w:name="Xf9db832b3dad33cd5015fdc09d9f3e6deb241fb"/>
    <w:p>
      <w:pPr>
        <w:pStyle w:val="Heading2"/>
      </w:pPr>
      <w:r>
        <w:t xml:space="preserve">Decipherment Rivalry and Priority Debates</w:t>
      </w:r>
    </w:p>
    <w:p>
      <w:pPr>
        <w:numPr>
          <w:ilvl w:val="0"/>
          <w:numId w:val="1008"/>
        </w:numPr>
      </w:pPr>
      <w:r>
        <w:t xml:space="preserve">Adkins, L., &amp; Adkins, R. (2000).</w:t>
      </w:r>
      <w:r>
        <w:t xml:space="preserve"> </w:t>
      </w:r>
      <w:r>
        <w:rPr>
          <w:iCs/>
          <w:i/>
        </w:rPr>
        <w:t xml:space="preserve">The Keys of Egypt: The Race to Read the Hieroglyphs</w:t>
      </w:r>
      <w:r>
        <w:t xml:space="preserve">. London: HarperCollins.</w:t>
      </w:r>
    </w:p>
    <w:p>
      <w:pPr>
        <w:numPr>
          <w:ilvl w:val="0"/>
          <w:numId w:val="1008"/>
        </w:numPr>
      </w:pPr>
      <w:r>
        <w:t xml:space="preserve">Downs, J. (2008).</w:t>
      </w:r>
      <w:r>
        <w:t xml:space="preserve"> </w:t>
      </w:r>
      <w:r>
        <w:rPr>
          <w:iCs/>
          <w:i/>
        </w:rPr>
        <w:t xml:space="preserve">Discovery at Rosetta: The Stone That Unlocked the Mysteries of Ancient Egypt</w:t>
      </w:r>
      <w:r>
        <w:t xml:space="preserve">. New York: Skyhorse Publishing.</w:t>
      </w:r>
    </w:p>
    <w:p>
      <w:pPr>
        <w:numPr>
          <w:ilvl w:val="0"/>
          <w:numId w:val="1008"/>
        </w:numPr>
      </w:pPr>
      <w:r>
        <w:t xml:space="preserve">Gillispie, C. C., &amp; Dewachter, M. (Eds.). (1987).</w:t>
      </w:r>
      <w:r>
        <w:t xml:space="preserve"> </w:t>
      </w:r>
      <w:r>
        <w:rPr>
          <w:iCs/>
          <w:i/>
        </w:rPr>
        <w:t xml:space="preserve">The Monuments of Egypt: The Napoleonic Edition</w:t>
      </w:r>
      <w:r>
        <w:t xml:space="preserve">. Princeton: Princeton Architectural Press.</w:t>
      </w:r>
    </w:p>
    <w:bookmarkEnd w:id="27"/>
    <w:bookmarkStart w:id="28" w:name="X756a0e917493dbb934b4ceb20753012cdd95bfe"/>
    <w:p>
      <w:pPr>
        <w:pStyle w:val="Heading2"/>
      </w:pPr>
      <w:r>
        <w:t xml:space="preserve">Comparative Philology and Linguistic Methods</w:t>
      </w:r>
    </w:p>
    <w:p>
      <w:pPr>
        <w:numPr>
          <w:ilvl w:val="0"/>
          <w:numId w:val="1009"/>
        </w:numPr>
      </w:pPr>
      <w:r>
        <w:t xml:space="preserve">Daniels, P. T., &amp; Bright, W. (Eds.). (1996).</w:t>
      </w:r>
      <w:r>
        <w:t xml:space="preserve"> </w:t>
      </w:r>
      <w:r>
        <w:rPr>
          <w:iCs/>
          <w:i/>
        </w:rPr>
        <w:t xml:space="preserve">The World’s Writing Systems</w:t>
      </w:r>
      <w:r>
        <w:t xml:space="preserve">. New York: Oxford University Press.</w:t>
      </w:r>
    </w:p>
    <w:p>
      <w:pPr>
        <w:numPr>
          <w:ilvl w:val="0"/>
          <w:numId w:val="1009"/>
        </w:numPr>
      </w:pPr>
      <w:r>
        <w:t xml:space="preserve">Robinson, A. (2002).</w:t>
      </w:r>
      <w:r>
        <w:t xml:space="preserve"> </w:t>
      </w:r>
      <w:r>
        <w:rPr>
          <w:iCs/>
          <w:i/>
        </w:rPr>
        <w:t xml:space="preserve">Lost Languages: The Enigma of the World’s Undeciphered Scripts</w:t>
      </w:r>
      <w:r>
        <w:t xml:space="preserve">. New York: McGraw-Hill.</w:t>
      </w:r>
    </w:p>
    <w:p>
      <w:pPr>
        <w:numPr>
          <w:ilvl w:val="0"/>
          <w:numId w:val="1009"/>
        </w:numPr>
      </w:pPr>
      <w:r>
        <w:t xml:space="preserve">Pope, M. (1999).</w:t>
      </w:r>
      <w:r>
        <w:t xml:space="preserve"> </w:t>
      </w:r>
      <w:r>
        <w:rPr>
          <w:iCs/>
          <w:i/>
        </w:rPr>
        <w:t xml:space="preserve">The Story of Decipherment: From Egyptian Hieroglyphs to Maya Script</w:t>
      </w:r>
      <w:r>
        <w:t xml:space="preserve">. London: Thames &amp; Hudson. (Revised edition)</w:t>
      </w:r>
    </w:p>
    <w:bookmarkEnd w:id="28"/>
    <w:bookmarkStart w:id="29" w:name="online-articles-consulted"/>
    <w:p>
      <w:pPr>
        <w:pStyle w:val="Heading2"/>
      </w:pPr>
      <w:r>
        <w:t xml:space="preserve">Online Articles Consulted</w:t>
      </w:r>
    </w:p>
    <w:p>
      <w:pPr>
        <w:numPr>
          <w:ilvl w:val="0"/>
          <w:numId w:val="1010"/>
        </w:numPr>
      </w:pPr>
      <w:r>
        <w:t xml:space="preserve">Smithsonian Magazine.</w:t>
      </w:r>
      <w:r>
        <w:t xml:space="preserve"> </w:t>
      </w:r>
      <w:r>
        <w:t xml:space="preserve">“</w:t>
      </w:r>
      <w:r>
        <w:t xml:space="preserve">How Champollion Deciphered the Rosetta Stone.</w:t>
      </w:r>
      <w:r>
        <w:t xml:space="preserve">”</w:t>
      </w:r>
      <w:r>
        <w:t xml:space="preserve"> </w:t>
      </w:r>
      <w:r>
        <w:t xml:space="preserve">https://www.smithsonianmag.com/history/rosetta-stone-hieroglyphs-champollion-decipherment-egypt-180980834/</w:t>
      </w:r>
    </w:p>
    <w:p>
      <w:pPr>
        <w:numPr>
          <w:ilvl w:val="0"/>
          <w:numId w:val="1010"/>
        </w:numPr>
      </w:pPr>
      <w:r>
        <w:t xml:space="preserve">JSTOR Daily.</w:t>
      </w:r>
      <w:r>
        <w:t xml:space="preserve"> </w:t>
      </w:r>
      <w:r>
        <w:t xml:space="preserve">“</w:t>
      </w:r>
      <w:r>
        <w:t xml:space="preserve">Jean-François Champollion Deciphers the Rosetta Stone.</w:t>
      </w:r>
      <w:r>
        <w:t xml:space="preserve">”</w:t>
      </w:r>
      <w:r>
        <w:t xml:space="preserve"> </w:t>
      </w:r>
      <w:r>
        <w:t xml:space="preserve">https://daily.jstor.org/jean-francois-champollion-deciphers-the-rosetta-stone/</w:t>
      </w:r>
    </w:p>
    <w:p>
      <w:pPr>
        <w:numPr>
          <w:ilvl w:val="0"/>
          <w:numId w:val="1010"/>
        </w:numPr>
      </w:pPr>
      <w:r>
        <w:t xml:space="preserve">BBC History.</w:t>
      </w:r>
      <w:r>
        <w:t xml:space="preserve"> </w:t>
      </w:r>
      <w:r>
        <w:t xml:space="preserve">“</w:t>
      </w:r>
      <w:r>
        <w:t xml:space="preserve">Ancient Egypt: Decipherment.</w:t>
      </w:r>
      <w:r>
        <w:t xml:space="preserve">”</w:t>
      </w:r>
      <w:r>
        <w:t xml:space="preserve"> </w:t>
      </w:r>
      <w:r>
        <w:t xml:space="preserve">http://www.bbc.co.uk/history/ancient/egyptians/decipherment_01.shtml</w:t>
      </w:r>
    </w:p>
    <w:p>
      <w:pPr>
        <w:numPr>
          <w:ilvl w:val="0"/>
          <w:numId w:val="1010"/>
        </w:numPr>
      </w:pPr>
      <w:r>
        <w:t xml:space="preserve">History.com.</w:t>
      </w:r>
      <w:r>
        <w:t xml:space="preserve"> </w:t>
      </w:r>
      <w:r>
        <w:t xml:space="preserve">“</w:t>
      </w:r>
      <w:r>
        <w:t xml:space="preserve">Rosetta Stone Code Cracked (September 27, 1822).</w:t>
      </w:r>
      <w:r>
        <w:t xml:space="preserve">”</w:t>
      </w:r>
      <w:r>
        <w:t xml:space="preserve"> </w:t>
      </w:r>
      <w:r>
        <w:t xml:space="preserve">https://www.history.com/this-day-in-history/september-27/rosetta-stone-code-cracked</w:t>
      </w:r>
    </w:p>
    <w:p>
      <w:r>
        <w:pict>
          <v:rect style="width:0;height:1.5pt" o:hralign="center" o:hrstd="t" o:hr="t"/>
        </w:pict>
      </w:r>
    </w:p>
    <w:p>
      <w:pPr>
        <w:pStyle w:val="FirstParagraph"/>
      </w:pPr>
      <w:r>
        <w:rPr>
          <w:iCs/>
          <w:i/>
        </w:rPr>
        <w:t xml:space="preserve">Note: All sources were consulted between 2024–2026 for factual accuracy, mainstream scholarly consensus, and evidence discipline. Where scholarly debates exist (e.g., Champollion vs. Young priority), both positions are presented with the mainstream view given primacy.</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2026-07-28T17:06:05Z</dcterms:created>
  <dcterms:modified xsi:type="dcterms:W3CDTF">2026-07-28T17:06:05Z</dcterms:modified>
</cp:coreProperties>
</file>

<file path=docProps/custom.xml><?xml version="1.0" encoding="utf-8"?>
<Properties xmlns="http://schemas.openxmlformats.org/officeDocument/2006/custom-properties" xmlns:vt="http://schemas.openxmlformats.org/officeDocument/2006/docPropsVTypes"/>
</file>