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mpositionproof-2-preregistration"/>
    <w:p>
      <w:pPr>
        <w:pStyle w:val="Heading1"/>
      </w:pPr>
      <w:r>
        <w:t xml:space="preserve">CompositionProof-2 — Preregistration</w:t>
      </w:r>
    </w:p>
    <w:p>
      <w:pPr>
        <w:pStyle w:val="FirstParagraph"/>
      </w:pPr>
      <w:r>
        <w:rPr>
          <w:bCs/>
          <w:b/>
        </w:rPr>
        <w:t xml:space="preserve">Experiment:</w:t>
      </w:r>
      <w:r>
        <w:t xml:space="preserve"> </w:t>
      </w:r>
      <w:r>
        <w:t xml:space="preserve">CompositionProof-2 — multi-epoch cross-witness correlation</w:t>
      </w:r>
      <w:r>
        <w:t xml:space="preserve"> </w:t>
      </w:r>
      <w:r>
        <w:rPr>
          <w:bCs/>
          <w:b/>
        </w:rPr>
        <w:t xml:space="preserve">Program:</w:t>
      </w:r>
      <w:r>
        <w:t xml:space="preserve"> </w:t>
      </w:r>
      <w:r>
        <w:t xml:space="preserve">Remnant Fieldworks Inc. — ExecutionProof™ / CIF,</w:t>
      </w:r>
      <w:r>
        <w:t xml:space="preserve"> </w:t>
      </w:r>
      <w:r>
        <w:t xml:space="preserve">“</w:t>
      </w:r>
      <w:r>
        <w:t xml:space="preserve">Proof composition</w:t>
      </w:r>
      <w:r>
        <w:t xml:space="preserve">”</w:t>
      </w:r>
      <w:r>
        <w:t xml:space="preserve"> </w:t>
      </w:r>
      <w:r>
        <w:t xml:space="preserve">candidate law (Deep Research Question #5)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Hone, Derek — Remnant Fieldworks Inc.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PREREGISTERED — design frozen BEFORE any hardware result. ZERO QPU spent at time of registration.</w:t>
      </w:r>
      <w:r>
        <w:t xml:space="preserve"> </w:t>
      </w:r>
      <w:r>
        <w:rPr>
          <w:bCs/>
          <w:b/>
        </w:rPr>
        <w:t xml:space="preserve">Date frozen:</w:t>
      </w:r>
      <w:r>
        <w:t xml:space="preserve"> </w:t>
      </w:r>
      <w:r>
        <w:t xml:space="preserve">2026-09-08</w:t>
      </w:r>
    </w:p>
    <w:p>
      <w:pPr>
        <w:pStyle w:val="BlockText"/>
      </w:pPr>
      <w:r>
        <w:t xml:space="preserve">This document is written and SHA-256 locked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hardware epoch is</w:t>
      </w:r>
      <w:r>
        <w:t xml:space="preserve"> </w:t>
      </w:r>
      <w:r>
        <w:t xml:space="preserve">collected. The classification rule (§4), power analysis (§5), permitted claim</w:t>
      </w:r>
      <w:r>
        <w:t xml:space="preserve"> </w:t>
      </w:r>
      <w:r>
        <w:t xml:space="preserve">(§6) and forbidden claims (§7) are fixed in advance so the eventual verdict</w:t>
      </w:r>
      <w:r>
        <w:t xml:space="preserve"> </w:t>
      </w:r>
      <w:r>
        <w:t xml:space="preserve">cannot be steered by the data. Hardware is gated behind an explicit CEO</w:t>
      </w:r>
      <w:r>
        <w:t xml:space="preserve"> </w:t>
      </w:r>
      <w:r>
        <w:t xml:space="preserve">authorization token</w:t>
      </w:r>
      <w:r>
        <w:t xml:space="preserve"> </w:t>
      </w:r>
      <w:r>
        <w:rPr>
          <w:rStyle w:val="VerbatimChar"/>
        </w:rPr>
        <w:t xml:space="preserve">GO COMPOSITIONPROOF-2</w:t>
      </w:r>
      <w:r>
        <w:t xml:space="preserve"> </w:t>
      </w:r>
      <w:r>
        <w:t xml:space="preserve">(see §9).</w:t>
      </w:r>
    </w:p>
    <w:p>
      <w:r>
        <w:pict>
          <v:rect style="width:0;height:1.5pt" o:hralign="center" o:hrstd="t" o:hr="t"/>
        </w:pict>
      </w:r>
    </w:p>
    <w:bookmarkStart w:id="20" w:name="question-and-motivation"/>
    <w:p>
      <w:pPr>
        <w:pStyle w:val="Heading2"/>
      </w:pPr>
      <w:r>
        <w:t xml:space="preserve">1. Question and motivation</w:t>
      </w:r>
    </w:p>
    <w:p>
      <w:pPr>
        <w:pStyle w:val="FirstParagraph"/>
      </w:pPr>
      <w:r>
        <w:t xml:space="preserve">CompositionProof-1 and OMNI-1 (DOI 10.5281/zenodo.21436092) each certified that</w:t>
      </w:r>
      <w:r>
        <w:t xml:space="preserve"> </w:t>
      </w:r>
      <w:r>
        <w:t xml:space="preserve">multiple nonclassicality witnesses pass</w:t>
      </w:r>
      <w:r>
        <w:t xml:space="preserve"> </w:t>
      </w:r>
      <w:r>
        <w:rPr>
          <w:bCs/>
          <w:b/>
        </w:rPr>
        <w:t xml:space="preserve">simultaneously in one recorded state</w:t>
      </w:r>
      <w:r>
        <w:t xml:space="preserve"> </w:t>
      </w:r>
      <w:r>
        <w:t xml:space="preserve">(a single calibration epoch). Neither could address a distinct, genuinely new</w:t>
      </w:r>
      <w:r>
        <w:t xml:space="preserve"> </w:t>
      </w:r>
      <w:r>
        <w:t xml:space="preserve">question, because both are</w:t>
      </w:r>
      <w:r>
        <w:t xml:space="preserve"> </w:t>
      </w:r>
      <w:r>
        <w:rPr>
          <w:bCs/>
          <w:b/>
        </w:rPr>
        <w:t xml:space="preserve">single-epoch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When the same two witnesses (CHSH and Mermin-3) are executed repeatedly</w:t>
      </w:r>
      <w:r>
        <w:rPr>
          <w:bCs/>
          <w:b/>
        </w:rPr>
        <w:t xml:space="preserve"> </w:t>
      </w:r>
      <w:r>
        <w:rPr>
          <w:bCs/>
          <w:b/>
        </w:rPr>
        <w:t xml:space="preserve">across many DISTINCT calibration epochs on the same device, are their</w:t>
      </w:r>
      <w:r>
        <w:rPr>
          <w:bCs/>
          <w:b/>
        </w:rPr>
        <w:t xml:space="preserve"> </w:t>
      </w:r>
      <w:r>
        <w:rPr>
          <w:bCs/>
          <w:b/>
        </w:rPr>
        <w:t xml:space="preserve">epoch-to-epoch FLUCTUATIONS statistically correlated?</w:t>
      </w:r>
    </w:p>
    <w:p>
      <w:pPr>
        <w:pStyle w:val="FirstParagraph"/>
      </w:pPr>
      <w:r>
        <w:t xml:space="preserve">This is the empirical content of the RF</w:t>
      </w:r>
      <w:r>
        <w:t xml:space="preserve"> </w:t>
      </w:r>
      <w:r>
        <w:t xml:space="preserve">“</w:t>
      </w:r>
      <w:r>
        <w:t xml:space="preserve">Proof composition</w:t>
      </w:r>
      <w:r>
        <w:t xml:space="preserve">”</w:t>
      </w:r>
      <w:r>
        <w:t xml:space="preserve"> </w:t>
      </w:r>
      <w:r>
        <w:t xml:space="preserve">candidate law: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Correlated fluctuations</w:t>
      </w:r>
      <w:r>
        <w:t xml:space="preserve"> </w:t>
      </w:r>
      <w:r>
        <w:t xml:space="preserve">→ the two witnesses share a</w:t>
      </w:r>
      <w:r>
        <w:t xml:space="preserve"> </w:t>
      </w:r>
      <w:r>
        <w:rPr>
          <w:bCs/>
          <w:b/>
        </w:rPr>
        <w:t xml:space="preserve">common-mode device</w:t>
      </w:r>
      <w:r>
        <w:rPr>
          <w:bCs/>
          <w:b/>
        </w:rPr>
        <w:t xml:space="preserve"> </w:t>
      </w:r>
      <w:r>
        <w:rPr>
          <w:bCs/>
          <w:b/>
        </w:rPr>
        <w:t xml:space="preserve">dependence</w:t>
      </w:r>
      <w:r>
        <w:t xml:space="preserve">; composition on one chip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clean combination of</w:t>
      </w:r>
      <w:r>
        <w:t xml:space="preserve"> </w:t>
      </w:r>
      <w:r>
        <w:t xml:space="preserve">independent evidence channels.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Uncorrelated fluctuations</w:t>
      </w:r>
      <w:r>
        <w:t xml:space="preserve"> </w:t>
      </w:r>
      <w:r>
        <w:t xml:space="preserve">→ the witnesses drift independently;</w:t>
      </w:r>
      <w:r>
        <w:t xml:space="preserve"> </w:t>
      </w:r>
      <w:r>
        <w:t xml:space="preserve">composition behaves like independent evidence channels</w:t>
      </w:r>
      <w:r>
        <w:t xml:space="preserve"> </w:t>
      </w:r>
      <w:r>
        <w:rPr>
          <w:bCs/>
          <w:b/>
        </w:rPr>
        <w:t xml:space="preserve">within tested bounds</w:t>
      </w:r>
      <w:r>
        <w:t xml:space="preserve">.</w:t>
      </w:r>
    </w:p>
    <w:p>
      <w:pPr>
        <w:pStyle w:val="FirstParagraph"/>
      </w:pPr>
      <w:r>
        <w:t xml:space="preserve">CompositionProof-2 does not redesign the witnesses. It is the</w:t>
      </w:r>
      <w:r>
        <w:t xml:space="preserve"> </w:t>
      </w:r>
      <w:r>
        <w:rPr>
          <w:bCs/>
          <w:b/>
        </w:rPr>
        <w:t xml:space="preserve">multi-epoch</w:t>
      </w:r>
      <w:r>
        <w:rPr>
          <w:bCs/>
          <w:b/>
        </w:rPr>
        <w:t xml:space="preserve"> </w:t>
      </w:r>
      <w:r>
        <w:rPr>
          <w:bCs/>
          <w:b/>
        </w:rPr>
        <w:t xml:space="preserve">extension of CompositionProof-1’s exact witnesses.</w:t>
      </w:r>
    </w:p>
    <w:bookmarkEnd w:id="20"/>
    <w:bookmarkStart w:id="21" w:name="Xbdac04657e802d7099d96c93f6f951faed0cb8f"/>
    <w:p>
      <w:pPr>
        <w:pStyle w:val="Heading2"/>
      </w:pPr>
      <w:r>
        <w:t xml:space="preserve">2. Witnesses (reused verbatim from CompositionProof-1)</w:t>
      </w:r>
    </w:p>
    <w:p>
      <w:pPr>
        <w:pStyle w:val="FirstParagraph"/>
      </w:pPr>
      <w:r>
        <w:t xml:space="preserve">Per epoch, one 8-circuit battery,</w:t>
      </w:r>
      <w:r>
        <w:t xml:space="preserve"> </w:t>
      </w:r>
      <w:r>
        <w:rPr>
          <w:bCs/>
          <w:b/>
        </w:rPr>
        <w:t xml:space="preserve">byte-compatible</w:t>
      </w:r>
      <w:r>
        <w:t xml:space="preserve"> </w:t>
      </w:r>
      <w:r>
        <w:t xml:space="preserve">with CompositionProof-1: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Single-epoch pass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 CHSH (2-qubit Bell)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</w:t>
            </w:r>
            <w:r>
              <w:rPr>
                <w:rStyle w:val="VerbatimChar"/>
              </w:rPr>
              <w:t xml:space="preserve">a0_b0,a0_b1,a1_b0,a1_b1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≥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 Mermin-3 (3-qubit GHZ)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</w:t>
            </w:r>
            <w:r>
              <w:rPr>
                <w:rStyle w:val="VerbatimChar"/>
              </w:rPr>
              <w:t xml:space="preserve">XYY,YXY,YYX,XXX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≥ 2.6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Shots per circuit:</w:t>
      </w:r>
      <w:r>
        <w:t xml:space="preserve"> </w:t>
      </w:r>
      <w:r>
        <w:rPr>
          <w:bCs/>
          <w:b/>
        </w:rPr>
        <w:t xml:space="preserve">4000</w:t>
      </w:r>
      <w:r>
        <w:t xml:space="preserve"> </w:t>
      </w:r>
      <w:r>
        <w:t xml:space="preserve">(frozen).</w:t>
      </w:r>
    </w:p>
    <w:p>
      <w:pPr>
        <w:numPr>
          <w:ilvl w:val="0"/>
          <w:numId w:val="1002"/>
        </w:numPr>
        <w:pStyle w:val="Compact"/>
      </w:pPr>
      <w:r>
        <w:t xml:space="preserve">The circuit definitions are identical to</w:t>
      </w:r>
      <w:r>
        <w:t xml:space="preserve"> </w:t>
      </w:r>
      <w:r>
        <w:rPr>
          <w:rStyle w:val="VerbatimChar"/>
        </w:rPr>
        <w:t xml:space="preserve">submit_epoch.py::build_all_circuits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composition2_sim.py</w:t>
      </w:r>
      <w:r>
        <w:t xml:space="preserve">; any change breaks the SHA-256 manifest.</w:t>
      </w:r>
    </w:p>
    <w:bookmarkEnd w:id="21"/>
    <w:bookmarkStart w:id="22" w:name="longitudinal-design"/>
    <w:p>
      <w:pPr>
        <w:pStyle w:val="Heading2"/>
      </w:pPr>
      <w:r>
        <w:t xml:space="preserve">3. Longitudinal design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8-circuit battery per DISTINCT device calibration epoch.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Epoch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as a distinct device calibration state</w:t>
      </w:r>
      <w:r>
        <w:t xml:space="preserve">, identified by</w:t>
      </w:r>
      <w:r>
        <w:t xml:space="preserve"> </w:t>
      </w:r>
      <w:r>
        <w:rPr>
          <w:rStyle w:val="VerbatimChar"/>
        </w:rPr>
        <w:t xml:space="preserve">backend.properties().last_update_date</w:t>
      </w:r>
      <w:r>
        <w:t xml:space="preserve">. Two batteries submitted inside the</w:t>
      </w:r>
      <w:r>
        <w:t xml:space="preserve"> </w:t>
      </w:r>
      <w:r>
        <w:t xml:space="preserve">same calibration cycle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two independent epochs and are rejected by</w:t>
      </w:r>
      <w:r>
        <w:t xml:space="preserve"> </w:t>
      </w:r>
      <w:r>
        <w:t xml:space="preserve">the submitter and the verifier.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N_target = 30</w:t>
      </w:r>
      <w:r>
        <w:t xml:space="preserve"> </w:t>
      </w:r>
      <w:r>
        <w:t xml:space="preserve">distinct calibration epochs.</w:t>
      </w:r>
      <w:r>
        <w:t xml:space="preserve"> </w:t>
      </w:r>
      <w:r>
        <w:rPr>
          <w:bCs/>
          <w:b/>
        </w:rPr>
        <w:t xml:space="preserve">N_min = 20</w:t>
      </w:r>
      <w:r>
        <w:t xml:space="preserve">; below N_min the</w:t>
      </w:r>
      <w:r>
        <w:t xml:space="preserve"> </w:t>
      </w:r>
      <w:r>
        <w:t xml:space="preserve">verdict is capped at INCONCLUSIVE.</w:t>
      </w:r>
    </w:p>
    <w:p>
      <w:pPr>
        <w:numPr>
          <w:ilvl w:val="0"/>
          <w:numId w:val="1003"/>
        </w:numPr>
        <w:pStyle w:val="Compact"/>
      </w:pPr>
      <w:r>
        <w:t xml:space="preserve">Because IBM devices recalibrate roughly once per day, ~30 epochs span</w:t>
      </w:r>
      <w:r>
        <w:t xml:space="preserve"> </w:t>
      </w:r>
      <w:r>
        <w:rPr>
          <w:bCs/>
          <w:b/>
        </w:rPr>
        <w:t xml:space="preserve">weeks</w:t>
      </w:r>
      <w:r>
        <w:t xml:space="preserve"> </w:t>
      </w:r>
      <w:r>
        <w:t xml:space="preserve">and cross</w:t>
      </w:r>
      <w:r>
        <w:t xml:space="preserve"> </w:t>
      </w:r>
      <w:r>
        <w:rPr>
          <w:bCs/>
          <w:b/>
        </w:rPr>
        <w:t xml:space="preserve">multiple 28-day rolling QPU windows</w:t>
      </w:r>
      <w:r>
        <w:t xml:space="preserve">. The ~330 QPU-seconds of</w:t>
      </w:r>
      <w:r>
        <w:t xml:space="preserve"> </w:t>
      </w:r>
      <w:r>
        <w:t xml:space="preserve">total sampler time is therefore spread across windows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consume</w:t>
      </w:r>
      <w:r>
        <w:t xml:space="preserve"> </w:t>
      </w:r>
      <w:r>
        <w:t xml:space="preserve">330 s from any single window.</w:t>
      </w:r>
    </w:p>
    <w:p>
      <w:pPr>
        <w:numPr>
          <w:ilvl w:val="0"/>
          <w:numId w:val="1003"/>
        </w:numPr>
        <w:pStyle w:val="Compact"/>
      </w:pPr>
      <w:r>
        <w:t xml:space="preserve">Each epoch records a calibration snapshot (calibration timestamp, median T1,</w:t>
      </w:r>
      <w:r>
        <w:t xml:space="preserve"> </w:t>
      </w:r>
      <w:r>
        <w:t xml:space="preserve">median T2, median readout error) so independence is auditable after the fact.</w:t>
      </w:r>
    </w:p>
    <w:bookmarkEnd w:id="22"/>
    <w:bookmarkStart w:id="23" w:name="estimator-and-frozen-classification-rule"/>
    <w:p>
      <w:pPr>
        <w:pStyle w:val="Heading2"/>
      </w:pPr>
      <w:r>
        <w:t xml:space="preserve">4. Estimator and FROZEN classification rule</w:t>
      </w:r>
    </w:p>
    <w:p>
      <w:pPr>
        <w:pStyle w:val="FirstParagraph"/>
      </w:pPr>
      <w:r>
        <w:t xml:space="preserve">For each epoch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the battery yields (S_i, M_i). Over the N epochs: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Primary estimator:</w:t>
      </w:r>
      <w:r>
        <w:t xml:space="preserve"> </w:t>
      </w:r>
      <w:r>
        <w:t xml:space="preserve">Spearman rank correlation ρ_s between {S_i} and {M_i}.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Secondary estimator:</w:t>
      </w:r>
      <w:r>
        <w:t xml:space="preserve"> </w:t>
      </w:r>
      <w:r>
        <w:t xml:space="preserve">Pearson correlation r (reported, not decisive).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Uncertainty:</w:t>
      </w:r>
      <w:r>
        <w:t xml:space="preserve"> </w:t>
      </w:r>
      <w:r>
        <w:t xml:space="preserve">95%</w:t>
      </w:r>
      <w:r>
        <w:t xml:space="preserve"> </w:t>
      </w:r>
      <w:r>
        <w:rPr>
          <w:bCs/>
          <w:b/>
        </w:rPr>
        <w:t xml:space="preserve">epoch-bootstrap</w:t>
      </w:r>
      <w:r>
        <w:t xml:space="preserve"> </w:t>
      </w:r>
      <w:r>
        <w:t xml:space="preserve">CI on ρ_s (resample epochs with</w:t>
      </w:r>
      <w:r>
        <w:t xml:space="preserve"> </w:t>
      </w:r>
      <w:r>
        <w:t xml:space="preserve">replacement,</w:t>
      </w:r>
      <w:r>
        <w:t xml:space="preserve"> </w:t>
      </w:r>
      <w:r>
        <w:rPr>
          <w:rStyle w:val="VerbatimChar"/>
        </w:rPr>
        <w:t xml:space="preserve">N_BOOT = 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BOOT_SEED = 20260908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Material-effect band:</w:t>
      </w:r>
      <w:r>
        <w:t xml:space="preserve"> </w:t>
      </w:r>
      <w:r>
        <w:rPr>
          <w:rStyle w:val="VerbatimChar"/>
        </w:rPr>
        <w:t xml:space="preserve">EFFECT_BAND = 0.30</w:t>
      </w:r>
      <w:r>
        <w:t xml:space="preserve"> </w:t>
      </w:r>
      <w:r>
        <w:t xml:space="preserve">(|ρ| ≥ 0.30 is material).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Shot-noise drift guard:</w:t>
      </w:r>
      <w:r>
        <w:t xml:space="preserve"> </w:t>
      </w:r>
      <w:r>
        <w:t xml:space="preserve">the epoch-to-epoch std of each witness must exceed</w:t>
      </w:r>
      <w:r>
        <w:t xml:space="preserve"> </w:t>
      </w:r>
      <w:r>
        <w:t xml:space="preserve">the shot-noise floor</w:t>
      </w:r>
      <w:r>
        <w:t xml:space="preserve"> </w:t>
      </w:r>
      <w:r>
        <w:rPr>
          <w:rStyle w:val="VerbatimChar"/>
        </w:rPr>
        <w:t xml:space="preserve">2/sqrt(shots)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DRIFT_GUARD_Z = 2.0</w:t>
      </w:r>
      <w:r>
        <w:t xml:space="preserve">. You cannot</w:t>
      </w:r>
      <w:r>
        <w:t xml:space="preserve"> </w:t>
      </w:r>
      <w:r>
        <w:t xml:space="preserve">estimate the correlation of fluctuations that are indistinguishable from shot</w:t>
      </w:r>
      <w:r>
        <w:t xml:space="preserve"> </w:t>
      </w:r>
      <w:r>
        <w:t xml:space="preserve">noise.</w:t>
      </w:r>
    </w:p>
    <w:p>
      <w:pPr>
        <w:pStyle w:val="FirstParagraph"/>
      </w:pPr>
      <w:r>
        <w:t xml:space="preserve">Frozen verdicts (evaluated in this order):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INCONCLUSIVE_NO_DRIFT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witness’s epoch std does not clear the drift guard (no real drift to correlate).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n_eff &lt; N_min (20), OR epochs not independent (shared calibration timestamps), OR the bootstrap CI straddles both 0 and ±EFFECT_BAND.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present, epochs independent, n_eff ≥ N_min, and the 95% CI for ρ_s lies</w:t>
            </w:r>
            <w:r>
              <w:t xml:space="preserve"> </w:t>
            </w:r>
            <w:r>
              <w:rPr>
                <w:bCs/>
                <w:b/>
              </w:rPr>
              <w:t xml:space="preserve">entirely outside</w:t>
            </w:r>
            <w:r>
              <w:t xml:space="preserve"> </w:t>
            </w:r>
            <w:r>
              <w:t xml:space="preserve">(−EFFECT_BAND, +EFFECT_BAND) (i.e. |ρ_s| materially and significantly &gt; 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UNCORRELATED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 present, epochs independent, n_eff ≥ N_min, and the 95% CI for ρ_s lies</w:t>
            </w:r>
            <w:r>
              <w:t xml:space="preserve"> </w:t>
            </w:r>
            <w:r>
              <w:rPr>
                <w:bCs/>
                <w:b/>
              </w:rPr>
              <w:t xml:space="preserve">entirely inside</w:t>
            </w:r>
            <w:r>
              <w:t xml:space="preserve"> </w:t>
            </w:r>
            <w:r>
              <w:t xml:space="preserve">(−EFFECT_BAND, +EFFECT_BAND) (equivalence: correlation certified small).</w:t>
            </w:r>
          </w:p>
        </w:tc>
      </w:tr>
    </w:tbl>
    <w:p>
      <w:pPr>
        <w:pStyle w:val="BodyText"/>
      </w:pPr>
      <w:r>
        <w:t xml:space="preserve">These constants are duplicated in</w:t>
      </w:r>
      <w:r>
        <w:t xml:space="preserve"> </w:t>
      </w:r>
      <w:r>
        <w:rPr>
          <w:rStyle w:val="VerbatimChar"/>
        </w:rPr>
        <w:t xml:space="preserve">verifier2.py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composition2_sim.py</w:t>
      </w:r>
      <w:r>
        <w:t xml:space="preserve"> </w:t>
      </w:r>
      <w:r>
        <w:t xml:space="preserve">and</w:t>
      </w:r>
      <w:r>
        <w:t xml:space="preserve"> </w:t>
      </w:r>
      <w:r>
        <w:t xml:space="preserve">are covered by the SHA-256 manifest.</w:t>
      </w:r>
    </w:p>
    <w:bookmarkEnd w:id="23"/>
    <w:bookmarkStart w:id="24" w:name="X8e3b5282deab02fea6c3b10a387ee49209e4e1d"/>
    <w:p>
      <w:pPr>
        <w:pStyle w:val="Heading2"/>
      </w:pPr>
      <w:r>
        <w:t xml:space="preserve">5. Power analysis and two-stage adaptive plan</w:t>
      </w:r>
    </w:p>
    <w:p>
      <w:pPr>
        <w:pStyle w:val="FirstParagraph"/>
      </w:pPr>
      <w:r>
        <w:t xml:space="preserve">Control simulations (</w:t>
      </w:r>
      <w:r>
        <w:rPr>
          <w:rStyle w:val="VerbatimChar"/>
        </w:rPr>
        <w:t xml:space="preserve">control_validate2.py</w:t>
      </w:r>
      <w:r>
        <w:t xml:space="preserve">, output</w:t>
      </w:r>
      <w:r>
        <w:t xml:space="preserve"> </w:t>
      </w:r>
      <w:r>
        <w:rPr>
          <w:rStyle w:val="VerbatimChar"/>
        </w:rPr>
        <w:t xml:space="preserve">control_validation2_output.json</w:t>
      </w:r>
      <w:r>
        <w:t xml:space="preserve">) establish an important, honest asymmetry: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Detecting</w:t>
      </w:r>
      <w:r>
        <w:t xml:space="preserve"> </w:t>
      </w:r>
      <w:r>
        <w:t xml:space="preserve">a real correlation (e.g. true ρ ≈ 0.75) is reliable at</w:t>
      </w:r>
      <w:r>
        <w:t xml:space="preserve"> </w:t>
      </w:r>
      <w:r>
        <w:rPr>
          <w:bCs/>
          <w:b/>
        </w:rPr>
        <w:t xml:space="preserve">n ≈ 30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Certifying ABSENCE</w:t>
      </w:r>
      <w:r>
        <w:t xml:space="preserve"> </w:t>
      </w:r>
      <w:r>
        <w:t xml:space="preserve">of correlation — the UNCORRELATED</w:t>
      </w:r>
      <w:r>
        <w:t xml:space="preserve"> </w:t>
      </w:r>
      <w:r>
        <w:rPr>
          <w:iCs/>
          <w:i/>
        </w:rPr>
        <w:t xml:space="preserve">equivalence</w:t>
      </w:r>
      <w:r>
        <w:t xml:space="preserve"> </w:t>
      </w:r>
      <w:r>
        <w:t xml:space="preserve">verdict,</w:t>
      </w:r>
      <w:r>
        <w:t xml:space="preserve"> </w:t>
      </w:r>
      <w:r>
        <w:t xml:space="preserve">CI entirely within ±0.30 at true ρ = 0 — requires roughly</w:t>
      </w:r>
      <w:r>
        <w:t xml:space="preserve"> </w:t>
      </w:r>
      <w:r>
        <w:rPr>
          <w:bCs/>
          <w:b/>
        </w:rPr>
        <w:t xml:space="preserve">n ≈ 150</w:t>
      </w:r>
      <w:r>
        <w:t xml:space="preserve"> </w:t>
      </w:r>
      <w:r>
        <w:t xml:space="preserve">epochs.</w:t>
      </w:r>
      <w:r>
        <w:t xml:space="preserve"> </w:t>
      </w:r>
      <w:r>
        <w:t xml:space="preserve">At n = 30 with true ρ = 0 the honest verdict is INCONCLUSIVE, not UNCORRELATED.</w:t>
      </w:r>
    </w:p>
    <w:p>
      <w:pPr>
        <w:pStyle w:val="FirstParagraph"/>
      </w:pPr>
      <w:r>
        <w:t xml:space="preserve">Preregistered</w:t>
      </w:r>
      <w:r>
        <w:t xml:space="preserve"> </w:t>
      </w:r>
      <w:r>
        <w:rPr>
          <w:bCs/>
          <w:b/>
        </w:rPr>
        <w:t xml:space="preserve">two-stage adaptive design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Stage 1 — n = 30 epochs.</w:t>
      </w:r>
      <w:r>
        <w:t xml:space="preserve"> </w:t>
      </w:r>
      <w:r>
        <w:t xml:space="preserve">If the verdict is</w:t>
      </w:r>
      <w:r>
        <w:t xml:space="preserve"> </w:t>
      </w:r>
      <w:r>
        <w:rPr>
          <w:bCs/>
          <w:b/>
        </w:rPr>
        <w:t xml:space="preserve">CORRELATED</w:t>
      </w:r>
      <w:r>
        <w:t xml:space="preserve">, stop: the</w:t>
      </w:r>
      <w:r>
        <w:t xml:space="preserve"> </w:t>
      </w:r>
      <w:r>
        <w:t xml:space="preserve">primary hypothesis (common-mode composition) is supported.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Stage 2 — extend toward n ≈ 150 epochs</w:t>
      </w:r>
      <w:r>
        <w:t xml:space="preserve"> </w:t>
      </w:r>
      <w:r>
        <w:t xml:space="preserve">ONLY if Stage 1 is INCONCLUSIVE and</w:t>
      </w:r>
      <w:r>
        <w:t xml:space="preserve"> </w:t>
      </w:r>
      <w:r>
        <w:t xml:space="preserve">we wish to certify UNCORRELATED. Stage 2 is itself gated (a fresh</w:t>
      </w:r>
      <w:r>
        <w:t xml:space="preserve"> </w:t>
      </w:r>
      <w:r>
        <w:rPr>
          <w:rStyle w:val="VerbatimChar"/>
        </w:rPr>
        <w:t xml:space="preserve">GO COMPOSITIONPROOF-2</w:t>
      </w:r>
      <w:r>
        <w:t xml:space="preserve"> </w:t>
      </w:r>
      <w:r>
        <w:t xml:space="preserve">is required to continue collecting epochs).</w:t>
      </w:r>
    </w:p>
    <w:bookmarkEnd w:id="24"/>
    <w:bookmarkStart w:id="25" w:name="X1b722985a6a6cdcb6b7bbe4967d038587357ccf"/>
    <w:p>
      <w:pPr>
        <w:pStyle w:val="Heading2"/>
      </w:pPr>
      <w:r>
        <w:t xml:space="preserve">6. Permitted claim (the ONLY claim this experiment can support)</w:t>
      </w:r>
    </w:p>
    <w:p>
      <w:pPr>
        <w:pStyle w:val="BlockText"/>
      </w:pPr>
      <w:r>
        <w:t xml:space="preserve">Across N distinct measured calibration epochs on one named IBM device over the</w:t>
      </w:r>
      <w:r>
        <w:t xml:space="preserve"> </w:t>
      </w:r>
      <w:r>
        <w:t xml:space="preserve">measured window, the epoch-to-epoch fluctuations of the CHSH and Mermin-3</w:t>
      </w:r>
      <w:r>
        <w:t xml:space="preserve"> </w:t>
      </w:r>
      <w:r>
        <w:t xml:space="preserve">witnesses were [correlated / uncorrelated within ±0.30 / inconclusive], with</w:t>
      </w:r>
      <w:r>
        <w:t xml:space="preserve"> </w:t>
      </w:r>
      <w:r>
        <w:t xml:space="preserve">the stated Spearman estimate and 95% epoch-bootstrap CI.</w:t>
      </w:r>
    </w:p>
    <w:bookmarkEnd w:id="25"/>
    <w:bookmarkStart w:id="26" w:name="forbidden-claims-explicitly-out-of-scope"/>
    <w:p>
      <w:pPr>
        <w:pStyle w:val="Heading2"/>
      </w:pPr>
      <w:r>
        <w:t xml:space="preserve">7. Forbidden claims (explicitly out of scope)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Proved the witnesses are independent</w:t>
      </w:r>
      <w:r>
        <w:t xml:space="preserve">”</w:t>
      </w:r>
      <w:r>
        <w:t xml:space="preserve"> </w:t>
      </w:r>
      <w:r>
        <w:t xml:space="preserve">(absence needs the Stage-2 equivalence result, and even then only within ±0.30 on one device).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Proved a causal common cause</w:t>
      </w:r>
      <w:r>
        <w:t xml:space="preserve">”</w:t>
      </w:r>
      <w:r>
        <w:t xml:space="preserve"> </w:t>
      </w:r>
      <w:r>
        <w:t xml:space="preserve">(correlation ≠ causation).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Device-independent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loophole-free</w:t>
      </w:r>
      <w:r>
        <w:t xml:space="preserve">”</w:t>
      </w:r>
      <w:r>
        <w:t xml:space="preserve"> </w:t>
      </w:r>
      <w:r>
        <w:t xml:space="preserve">(locality + detection loopholes OPEN).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Universal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for all devices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for all witness pairs</w:t>
      </w:r>
      <w:r>
        <w:t xml:space="preserve">”</w:t>
      </w:r>
      <w:r>
        <w:t xml:space="preserve"> </w:t>
      </w:r>
      <w:r>
        <w:t xml:space="preserve">(one device, one pair, one window).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t xml:space="preserve">“</w:t>
      </w:r>
      <w:r>
        <w:t xml:space="preserve">First / only</w:t>
      </w:r>
      <w:r>
        <w:t xml:space="preserve">”</w:t>
      </w:r>
      <w:r>
        <w:t xml:space="preserve"> </w:t>
      </w:r>
      <w:r>
        <w:t xml:space="preserve">anything beyond what is documented by cited DOIs.</w:t>
      </w:r>
    </w:p>
    <w:bookmarkEnd w:id="26"/>
    <w:bookmarkStart w:id="27" w:name="honesty-bounds-carry-into-every-artifact"/>
    <w:p>
      <w:pPr>
        <w:pStyle w:val="Heading2"/>
      </w:pPr>
      <w:r>
        <w:t xml:space="preserve">8. Honesty bounds (carry into every artifact)</w:t>
      </w:r>
    </w:p>
    <w:p>
      <w:pPr>
        <w:numPr>
          <w:ilvl w:val="0"/>
          <w:numId w:val="1008"/>
        </w:numPr>
        <w:pStyle w:val="Compact"/>
      </w:pPr>
      <w:r>
        <w:t xml:space="preserve">Device-dependent witnesses on</w:t>
      </w:r>
      <w:r>
        <w:t xml:space="preserve"> </w:t>
      </w:r>
      <w:r>
        <w:rPr>
          <w:bCs/>
          <w:b/>
        </w:rPr>
        <w:t xml:space="preserve">co-located qubits</w:t>
      </w:r>
      <w:r>
        <w:t xml:space="preserve">. Locality and detection</w:t>
      </w:r>
      <w:r>
        <w:t xml:space="preserve"> </w:t>
      </w:r>
      <w:r>
        <w:t xml:space="preserve">loopholes</w:t>
      </w:r>
      <w:r>
        <w:t xml:space="preserve"> </w:t>
      </w:r>
      <w:r>
        <w:rPr>
          <w:bCs/>
          <w:b/>
        </w:rPr>
        <w:t xml:space="preserve">OPEN</w:t>
      </w:r>
      <w:r>
        <w:t xml:space="preserve">. NOT device-independent; NOT loophole-free.</w:t>
      </w:r>
    </w:p>
    <w:p>
      <w:pPr>
        <w:numPr>
          <w:ilvl w:val="0"/>
          <w:numId w:val="1008"/>
        </w:numPr>
        <w:pStyle w:val="Compact"/>
      </w:pPr>
      <w:r>
        <w:t xml:space="preserve">Any cross-epoch correlation is an</w:t>
      </w:r>
      <w:r>
        <w:t xml:space="preserve"> </w:t>
      </w:r>
      <w:r>
        <w:rPr>
          <w:bCs/>
          <w:b/>
        </w:rPr>
        <w:t xml:space="preserve">OBSERVED association</w:t>
      </w:r>
      <w:r>
        <w:t xml:space="preserve"> </w:t>
      </w:r>
      <w:r>
        <w:t xml:space="preserve">on one device over</w:t>
      </w:r>
      <w:r>
        <w:t xml:space="preserve"> </w:t>
      </w:r>
      <w:r>
        <w:t xml:space="preserve">the measured window — not a causal common cause, not a universal statement.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Epoch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a distinct calibration state.</w:t>
      </w:r>
      <w:r>
        <w:t xml:space="preserve"> </w:t>
      </w:r>
      <w:r>
        <w:t xml:space="preserve">Batteries sharing a calibration</w:t>
      </w:r>
      <w:r>
        <w:t xml:space="preserve"> </w:t>
      </w:r>
      <w:r>
        <w:t xml:space="preserve">cycle are not independent epochs.</w:t>
      </w:r>
    </w:p>
    <w:p>
      <w:pPr>
        <w:numPr>
          <w:ilvl w:val="0"/>
          <w:numId w:val="1008"/>
        </w:numPr>
        <w:pStyle w:val="Compact"/>
      </w:pPr>
      <w:r>
        <w:t xml:space="preserve">The Aer simulation is a</w:t>
      </w:r>
      <w:r>
        <w:t xml:space="preserve"> </w:t>
      </w:r>
      <w:r>
        <w:rPr>
          <w:bCs/>
          <w:b/>
        </w:rPr>
        <w:t xml:space="preserve">feasibility check only</w:t>
      </w:r>
      <w:r>
        <w:t xml:space="preserve"> </w:t>
      </w:r>
      <w:r>
        <w:t xml:space="preserve">(that the estimator and</w:t>
      </w:r>
      <w:r>
        <w:t xml:space="preserve"> </w:t>
      </w:r>
      <w:r>
        <w:t xml:space="preserve">guard behave), not evidence about real hardware correlation.</w:t>
      </w:r>
    </w:p>
    <w:p>
      <w:pPr>
        <w:numPr>
          <w:ilvl w:val="0"/>
          <w:numId w:val="1008"/>
        </w:numPr>
        <w:pStyle w:val="Compact"/>
      </w:pPr>
      <w:r>
        <w:t xml:space="preserve">Correlation ≠ causation; a small measured correlation does not prove</w:t>
      </w:r>
      <w:r>
        <w:t xml:space="preserve"> </w:t>
      </w:r>
      <w:r>
        <w:t xml:space="preserve">mechanistic independence.</w:t>
      </w:r>
    </w:p>
    <w:bookmarkEnd w:id="27"/>
    <w:bookmarkStart w:id="28" w:name="qpu-budget-gating-and-timeline"/>
    <w:p>
      <w:pPr>
        <w:pStyle w:val="Heading2"/>
      </w:pPr>
      <w:r>
        <w:t xml:space="preserve">9. QPU budget, gating, and timeline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 epoch:</w:t>
      </w:r>
      <w:r>
        <w:t xml:space="preserve"> </w:t>
      </w:r>
      <w:r>
        <w:t xml:space="preserve">8 circuits × 4000 shots ≈ ~11 QPU-seconds of sampler time</w:t>
      </w:r>
      <w:r>
        <w:t xml:space="preserve"> </w:t>
      </w:r>
      <w:r>
        <w:t xml:space="preserve">(backend-dependent).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N_target = 30 epochs → ~330 QPU-seconds total</w:t>
      </w:r>
      <w:r>
        <w:t xml:space="preserve">, spread across weeks and</w:t>
      </w:r>
      <w:r>
        <w:t xml:space="preserve"> </w:t>
      </w:r>
      <w:r>
        <w:t xml:space="preserve">multiple 28-day rolling windows (≈ 1 epoch per calibration cycle).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Hardware is GATED.</w:t>
      </w:r>
      <w:r>
        <w:t xml:space="preserve"> </w:t>
      </w:r>
      <w:r>
        <w:rPr>
          <w:rStyle w:val="VerbatimChar"/>
        </w:rPr>
        <w:t xml:space="preserve">submit_epoch.py</w:t>
      </w:r>
      <w:r>
        <w:t xml:space="preserve"> </w:t>
      </w:r>
      <w:r>
        <w:t xml:space="preserve">submits nothing unless ALL gates</w:t>
      </w:r>
      <w:r>
        <w:t xml:space="preserve"> </w:t>
      </w:r>
      <w:r>
        <w:t xml:space="preserve">pass:</w:t>
      </w:r>
      <w:r>
        <w:t xml:space="preserve"> </w:t>
      </w:r>
      <w:r>
        <w:rPr>
          <w:rStyle w:val="VerbatimChar"/>
        </w:rPr>
        <w:t xml:space="preserve">--go-token "GO COMPOSITIONPROOF-2"</w:t>
      </w:r>
      <w:r>
        <w:t xml:space="preserve">,</w:t>
      </w:r>
      <w:r>
        <w:t xml:space="preserve"> </w:t>
      </w:r>
      <w:r>
        <w:rPr>
          <w:rStyle w:val="VerbatimChar"/>
        </w:rPr>
        <w:t xml:space="preserve">--i-have-ceo-authorization</w:t>
      </w:r>
      <w:r>
        <w:t xml:space="preserve">,</w:t>
      </w:r>
      <w:r>
        <w:t xml:space="preserve"> </w:t>
      </w:r>
      <w:r>
        <w:t xml:space="preserve">a valid</w:t>
      </w:r>
      <w:r>
        <w:t xml:space="preserve"> </w:t>
      </w:r>
      <w:r>
        <w:rPr>
          <w:rStyle w:val="VerbatimChar"/>
        </w:rPr>
        <w:t xml:space="preserve">--epoch-id</w:t>
      </w:r>
      <w:r>
        <w:t xml:space="preserve">, and a verifying SHA-256 manifest. It additionally</w:t>
      </w:r>
      <w:r>
        <w:t xml:space="preserve"> </w:t>
      </w:r>
      <w:r>
        <w:t xml:space="preserve">refuses to record an epoch whose calibration timestamp already appears in the</w:t>
      </w:r>
      <w:r>
        <w:t xml:space="preserve"> </w:t>
      </w:r>
      <w:r>
        <w:t xml:space="preserve">series (independence guard).</w:t>
      </w:r>
    </w:p>
    <w:p>
      <w:pPr>
        <w:numPr>
          <w:ilvl w:val="0"/>
          <w:numId w:val="1009"/>
        </w:numPr>
        <w:pStyle w:val="Compact"/>
      </w:pPr>
      <w:r>
        <w:t xml:space="preserve">At preregistration time:</w:t>
      </w:r>
      <w:r>
        <w:t xml:space="preserve"> </w:t>
      </w:r>
      <w:r>
        <w:rPr>
          <w:bCs/>
          <w:b/>
        </w:rPr>
        <w:t xml:space="preserve">hardware_submitted = false; 0 QPU-seconds spent.</w:t>
      </w:r>
    </w:p>
    <w:bookmarkEnd w:id="28"/>
    <w:bookmarkStart w:id="29" w:name="reproducibility-artifacts"/>
    <w:p>
      <w:pPr>
        <w:pStyle w:val="Heading2"/>
      </w:pPr>
      <w:r>
        <w:t xml:space="preserve">10. Reproducibility artifacts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composition2_sim.py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 feasibility simulation (ZERO QPU).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verifier2.py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verifier (SciPy; distinct implementation).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control_validate2.py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control suite (all verdicts reachable).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submit_epoch.py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per-epoch hardware submitter.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composition2_sim_result.json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sim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control_validation2_output.json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suite output (all_pass).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series_example_sim.json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multi-epoch series (from sim).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verifier2_output_example.json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verifier run on the example.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SHA256_MANIFEST.txt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Freezes every artifact above + this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lock_candidate.json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lock + design summary.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2026-09-08T16:50:34Z</dcterms:created>
  <dcterms:modified xsi:type="dcterms:W3CDTF">2026-09-08T16:50:34Z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