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sults-classical-simulation-layer-v1"/>
    <w:p>
      <w:pPr>
        <w:pStyle w:val="Heading1"/>
      </w:pPr>
      <w:r>
        <w:t xml:space="preserve">RESULTS — classical simulation layer (v1)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rPr>
          <w:rStyle w:val="VerbatimChar"/>
        </w:rPr>
        <w:t xml:space="preserve">dark-matter-quantum-sim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Run date:</w:t>
      </w:r>
      <w:r>
        <w:t xml:space="preserve"> </w:t>
      </w:r>
      <w:r>
        <w:t xml:space="preserve">2026-08-01</w:t>
      </w:r>
      <w:r>
        <w:t xml:space="preserve"> </w:t>
      </w:r>
      <w:r>
        <w:rPr>
          <w:bCs/>
          <w:b/>
        </w:rPr>
        <w:t xml:space="preserve">Preregistration:</w:t>
      </w:r>
      <w:r>
        <w:t xml:space="preserve"> </w:t>
      </w:r>
      <w:r>
        <w:t xml:space="preserve">locked, SHA-256 in</w:t>
      </w:r>
      <w:r>
        <w:t xml:space="preserve"> </w:t>
      </w:r>
      <w:hyperlink r:id="rId20">
        <w:r>
          <w:rPr>
            <w:rStyle w:val="VerbatimChar"/>
          </w:rPr>
          <w:t xml:space="preserve">MANIFEST.sha256</w:t>
        </w:r>
      </w:hyperlink>
      <w:r>
        <w:t xml:space="preserve">.</w:t>
      </w:r>
    </w:p>
    <w:p>
      <w:pPr>
        <w:pStyle w:val="BodyText"/>
      </w:pPr>
      <w:r>
        <w:t xml:space="preserve">Per the RF covenant, results are published</w:t>
      </w:r>
      <w:r>
        <w:t xml:space="preserve"> </w:t>
      </w:r>
      <w:r>
        <w:rPr>
          <w:bCs/>
          <w:b/>
        </w:rPr>
        <w:t xml:space="preserve">regardless of PASS / FAIL / HOLD</w:t>
      </w:r>
      <w:r>
        <w:t xml:space="preserve">. The full</w:t>
      </w:r>
      <w:r>
        <w:t xml:space="preserve"> </w:t>
      </w:r>
      <w:r>
        <w:t xml:space="preserve">ProofRecords (with self-binding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) are in each experiment’s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folder.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58"/>
        <w:gridCol w:w="908"/>
        <w:gridCol w:w="3245"/>
        <w:gridCol w:w="1038"/>
        <w:gridCol w:w="1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Preregistered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Axion (Peccei-Quinn double-well)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  <w:r>
              <w:t xml:space="preserve"> </w:t>
            </w:r>
            <w:r>
              <w:rPr>
                <w:rStyle w:val="VerbatimChar"/>
              </w:rPr>
              <w:t xml:space="preserve">T = 2π/ω₀ ±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period</w:t>
            </w:r>
            <w:r>
              <w:t xml:space="preserve"> </w:t>
            </w:r>
            <w:r>
              <w:rPr>
                <w:bCs/>
                <w:b/>
              </w:rPr>
              <w:t xml:space="preserve">1.546</w:t>
            </w:r>
            <w:r>
              <w:t xml:space="preserve"> </w:t>
            </w:r>
            <w:r>
              <w:t xml:space="preserve">vs target</w:t>
            </w:r>
            <w:r>
              <w:t xml:space="preserve"> </w:t>
            </w:r>
            <w:r>
              <w:rPr>
                <w:bCs/>
                <w:b/>
              </w:rPr>
              <w:t xml:space="preserve">6.283</w:t>
            </w:r>
            <w:r>
              <w:t xml:space="preserve"> </w:t>
            </w:r>
            <w:r>
              <w:t xml:space="preserve">(75.4% off)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Sterile neutrino (2-flavor)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 vs analytic within 10%; kill if &gt;1%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analytic/matrix agree to</w:t>
            </w:r>
            <w:r>
              <w:t xml:space="preserve"> </w:t>
            </w:r>
            <w:r>
              <w:rPr>
                <w:bCs/>
                <w:b/>
              </w:rPr>
              <w:t xml:space="preserve">7.8e-16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P@L=1 ≈ 0.085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WIMP-nucleon (exchange)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sin²(2gt) ± 5%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t=π/(4g)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 prob</w:t>
            </w:r>
            <w:r>
              <w:t xml:space="preserve"> </w:t>
            </w:r>
            <w:r>
              <w:rPr>
                <w:bCs/>
                <w:b/>
              </w:rPr>
              <w:t xml:space="preserve">1.000</w:t>
            </w:r>
            <w:r>
              <w:t xml:space="preserve"> </w:t>
            </w:r>
            <w:r>
              <w:t xml:space="preserve">vs target</w:t>
            </w:r>
            <w:r>
              <w:t xml:space="preserve"> </w:t>
            </w:r>
            <w:r>
              <w:rPr>
                <w:bCs/>
                <w:b/>
              </w:rPr>
              <w:t xml:space="preserve">1.0</w:t>
            </w:r>
            <w:r>
              <w:t xml:space="preserve">; sim vs closed form</w:t>
            </w:r>
            <w:r>
              <w:t xml:space="preserve"> </w:t>
            </w:r>
            <w:r>
              <w:rPr>
                <w:bCs/>
                <w:b/>
              </w:rPr>
              <w:t xml:space="preserve">1.1e-15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Xd537a45885e6bc3ffa4aeb3f4dac1f1c5913429"/>
    <w:p>
      <w:pPr>
        <w:pStyle w:val="Heading3"/>
      </w:pPr>
      <w:r>
        <w:t xml:space="preserve">DM-001 is an honest FAIL — and that is the point</w:t>
      </w:r>
    </w:p>
    <w:p>
      <w:pPr>
        <w:pStyle w:val="FirstParagraph"/>
      </w:pPr>
      <w:r>
        <w:t xml:space="preserve">The preregistration fixed the naive prediction that</w:t>
      </w:r>
      <w:r>
        <w:t xml:space="preserve"> </w:t>
      </w:r>
      <w:r>
        <w:rPr>
          <w:rStyle w:val="VerbatimChar"/>
        </w:rPr>
        <w:t xml:space="preserve">⟨σ_z⟩</w:t>
      </w:r>
      <w:r>
        <w:t xml:space="preserve"> </w:t>
      </w:r>
      <w:r>
        <w:t xml:space="preserve">would oscillate with period</w:t>
      </w:r>
      <w:r>
        <w:t xml:space="preserve"> </w:t>
      </w:r>
      <w:r>
        <w:rPr>
          <w:rStyle w:val="VerbatimChar"/>
        </w:rPr>
        <w:t xml:space="preserve">T = 2π/ω₀</w:t>
      </w:r>
      <w:r>
        <w:t xml:space="preserve">. The exact classical simulation shows it does not: with the coupling</w:t>
      </w:r>
      <w:r>
        <w:t xml:space="preserve"> </w:t>
      </w:r>
      <w:r>
        <w:rPr>
          <w:rStyle w:val="VerbatimChar"/>
        </w:rPr>
        <w:t xml:space="preserve">λ</w:t>
      </w:r>
      <w:r>
        <w:t xml:space="preserve"> </w:t>
      </w:r>
      <w:r>
        <w:t xml:space="preserve">and the</w:t>
      </w:r>
      <w:r>
        <w:t xml:space="preserve"> </w:t>
      </w:r>
      <w:r>
        <w:t xml:space="preserve">two-qubit</w:t>
      </w:r>
      <w:r>
        <w:t xml:space="preserve"> </w:t>
      </w:r>
      <w:r>
        <w:rPr>
          <w:rStyle w:val="VerbatimChar"/>
        </w:rPr>
        <w:t xml:space="preserve">|00⟩–|11⟩</w:t>
      </w:r>
      <w:r>
        <w:t xml:space="preserve"> </w:t>
      </w:r>
      <w:r>
        <w:t xml:space="preserve">structure, the true oscillation is a</w:t>
      </w:r>
      <w:r>
        <w:t xml:space="preserve"> </w:t>
      </w:r>
      <w:r>
        <w:rPr>
          <w:bCs/>
          <w:b/>
        </w:rPr>
        <w:t xml:space="preserve">Rabi oscillation</w:t>
      </w:r>
      <w:r>
        <w:t xml:space="preserve"> </w:t>
      </w:r>
      <w:r>
        <w:t xml:space="preserve">at the gap</w:t>
      </w:r>
      <w:r>
        <w:t xml:space="preserve"> </w:t>
      </w:r>
      <w:r>
        <w:rPr>
          <w:rStyle w:val="VerbatimChar"/>
        </w:rPr>
        <w:t xml:space="preserve">2√((2ω₀)² + λ²)</w:t>
      </w:r>
      <w:r>
        <w:t xml:space="preserve">, giving a period</w:t>
      </w:r>
      <w:r>
        <w:t xml:space="preserve"> </w:t>
      </w:r>
      <w:r>
        <w:rPr>
          <w:rStyle w:val="VerbatimChar"/>
        </w:rPr>
        <w:t xml:space="preserve">π/√((2ω₀)² + λ²) ≈ 1.55</w:t>
      </w:r>
      <w:r>
        <w:t xml:space="preserve"> </w:t>
      </w:r>
      <w:r>
        <w:t xml:space="preserve">— a 75% deviation from the</w:t>
      </w:r>
      <w:r>
        <w:t xml:space="preserve"> </w:t>
      </w:r>
      <w:r>
        <w:t xml:space="preserve">preregistered target.</w:t>
      </w:r>
    </w:p>
    <w:p>
      <w:pPr>
        <w:pStyle w:val="BodyText"/>
      </w:pPr>
      <w:r>
        <w:t xml:space="preserve">Because the threshold was</w:t>
      </w:r>
      <w:r>
        <w:t xml:space="preserve"> </w:t>
      </w:r>
      <w:r>
        <w:rPr>
          <w:bCs/>
          <w:b/>
        </w:rPr>
        <w:t xml:space="preserve">locked before the result existed</w:t>
      </w:r>
      <w:r>
        <w:t xml:space="preserve">, we cannot retroactively</w:t>
      </w:r>
      <w:r>
        <w:t xml:space="preserve"> </w:t>
      </w:r>
      <w:r>
        <w:t xml:space="preserve">“</w:t>
      </w:r>
      <w:r>
        <w:t xml:space="preserve">fix</w:t>
      </w:r>
      <w:r>
        <w:t xml:space="preserve">”</w:t>
      </w:r>
      <w:r>
        <w:t xml:space="preserve"> </w:t>
      </w:r>
      <w:r>
        <w:t xml:space="preserve">the prediction to manufacture a PASS. We record the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and publish it. This is</w:t>
      </w:r>
      <w:r>
        <w:t xml:space="preserve"> </w:t>
      </w:r>
      <w:r>
        <w:t xml:space="preserve">exactly the discipline the RF preregistration covenant exists to enforce: preregistration</w:t>
      </w:r>
      <w:r>
        <w:t xml:space="preserve"> </w:t>
      </w:r>
      <w:r>
        <w:t xml:space="preserve">prevents goalpost-moving; a wrong prior is reported as wrong.</w:t>
      </w:r>
    </w:p>
    <w:p>
      <w:pPr>
        <w:pStyle w:val="BodyText"/>
      </w:pPr>
      <w:r>
        <w:t xml:space="preserve">The simulation code itself is verified correct —</w:t>
      </w:r>
      <w:r>
        <w:t xml:space="preserve"> </w:t>
      </w:r>
      <w:r>
        <w:rPr>
          <w:rStyle w:val="VerbatimChar"/>
        </w:rPr>
        <w:t xml:space="preserve">tests/test_classical_sim.py</w:t>
      </w:r>
      <w:r>
        <w:t xml:space="preserve"> </w:t>
      </w:r>
      <w:r>
        <w:t xml:space="preserve">confirms the</w:t>
      </w:r>
      <w:r>
        <w:t xml:space="preserve"> </w:t>
      </w:r>
      <w:r>
        <w:t xml:space="preserve">simulator reproduces the true Rabi period to within 0.5%.</w:t>
      </w:r>
    </w:p>
    <w:bookmarkEnd w:id="21"/>
    <w:bookmarkStart w:id="22" w:name="Xbc60a66c24467130cec96a15eca2dad79d21cbf"/>
    <w:p>
      <w:pPr>
        <w:pStyle w:val="Heading3"/>
      </w:pPr>
      <w:r>
        <w:t xml:space="preserve">DM-002 demonstrates the kill condition working</w:t>
      </w:r>
    </w:p>
    <w:p>
      <w:pPr>
        <w:pStyle w:val="FirstParagraph"/>
      </w:pPr>
      <w:r>
        <w:t xml:space="preserve">An initial (buggy) flavor-basis convention made the matrix-exponentiation cross-check</w:t>
      </w:r>
      <w:r>
        <w:t xml:space="preserve"> </w:t>
      </w:r>
      <w:r>
        <w:t xml:space="preserve">disagree with the analytic survival formula by ~1.0 (a complete mismatch). The</w:t>
      </w:r>
      <w:r>
        <w:t xml:space="preserve"> </w:t>
      </w:r>
      <w:r>
        <w:t xml:space="preserve">preregistered</w:t>
      </w:r>
      <w:r>
        <w:t xml:space="preserve"> </w:t>
      </w:r>
      <w:r>
        <w:rPr>
          <w:bCs/>
          <w:b/>
        </w:rPr>
        <w:t xml:space="preserve">kill condition (&gt;1% ⇒ HOLD)</w:t>
      </w:r>
      <w:r>
        <w:t xml:space="preserve"> </w:t>
      </w:r>
      <w:r>
        <w:t xml:space="preserve">correctly caught it before any physics verdict</w:t>
      </w:r>
      <w:r>
        <w:t xml:space="preserve"> </w:t>
      </w:r>
      <w:r>
        <w:t xml:space="preserve">was issued. After correcting the convention (initial pure flavor state</w:t>
      </w:r>
      <w:r>
        <w:t xml:space="preserve"> </w:t>
      </w:r>
      <w:r>
        <w:rPr>
          <w:rStyle w:val="VerbatimChar"/>
        </w:rPr>
        <w:t xml:space="preserve">|ν_μ⟩ = |1⟩</w:t>
      </w:r>
      <w:r>
        <w:t xml:space="preserve">), the</w:t>
      </w:r>
      <w:r>
        <w:t xml:space="preserve"> </w:t>
      </w:r>
      <w:r>
        <w:t xml:space="preserve">analytic and matrix curves agree to</w:t>
      </w:r>
      <w:r>
        <w:t xml:space="preserve"> </w:t>
      </w:r>
      <w:r>
        <w:rPr>
          <w:bCs/>
          <w:b/>
        </w:rPr>
        <w:t xml:space="preserve">7.8e-16</w:t>
      </w:r>
      <w:r>
        <w:t xml:space="preserve"> </w:t>
      </w:r>
      <w:r>
        <w:t xml:space="preserve">and the experiment reports</w:t>
      </w:r>
      <w:r>
        <w:t xml:space="preserve"> </w:t>
      </w:r>
      <w:r>
        <w:rPr>
          <w:bCs/>
          <w:b/>
        </w:rPr>
        <w:t xml:space="preserve">PASS</w:t>
      </w:r>
      <w:r>
        <w:t xml:space="preserve">.</w:t>
      </w:r>
    </w:p>
    <w:bookmarkEnd w:id="22"/>
    <w:bookmarkStart w:id="23" w:name="dm-003-passes-cleanly"/>
    <w:p>
      <w:pPr>
        <w:pStyle w:val="Heading3"/>
      </w:pPr>
      <w:r>
        <w:t xml:space="preserve">DM-003 passes cleanly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 = g(X⊗X + Y⊗Y)</w:t>
      </w:r>
      <w:r>
        <w:t xml:space="preserve"> </w:t>
      </w:r>
      <w:r>
        <w:t xml:space="preserve">exchange coupling reproduces</w:t>
      </w:r>
      <w:r>
        <w:t xml:space="preserve"> </w:t>
      </w:r>
      <w:r>
        <w:rPr>
          <w:rStyle w:val="VerbatimChar"/>
        </w:rPr>
        <w:t xml:space="preserve">P_flip = sin²(2gt)</w:t>
      </w:r>
      <w:r>
        <w:t xml:space="preserve"> </w:t>
      </w:r>
      <w:r>
        <w:t xml:space="preserve">to floating-point</w:t>
      </w:r>
      <w:r>
        <w:t xml:space="preserve"> </w:t>
      </w:r>
      <w:r>
        <w:t xml:space="preserve">precision, and the quarter-period flip probability is exactly 1.0.</w:t>
      </w:r>
    </w:p>
    <w:p>
      <w:r>
        <w:pict>
          <v:rect style="width:0;height:1.5pt" o:hralign="center" o:hrstd="t" o:hr="t"/>
        </w:pict>
      </w:r>
    </w:p>
    <w:bookmarkEnd w:id="23"/>
    <w:bookmarkStart w:id="24" w:name="honest-scope-unchanged"/>
    <w:p>
      <w:pPr>
        <w:pStyle w:val="Heading3"/>
      </w:pPr>
      <w:r>
        <w:t xml:space="preserve">Honest scope (unchanged)</w:t>
      </w:r>
    </w:p>
    <w:p>
      <w:pPr>
        <w:pStyle w:val="FirstParagraph"/>
      </w:pPr>
      <w:r>
        <w:t xml:space="preserve">These are toy Hamiltonian classical simulations, not detection of real dark matter. The IBM</w:t>
      </w:r>
      <w:r>
        <w:t xml:space="preserve"> </w:t>
      </w:r>
      <w:r>
        <w:t xml:space="preserve">Q circuit runs (</w:t>
      </w:r>
      <w:r>
        <w:rPr>
          <w:rStyle w:val="VerbatimChar"/>
        </w:rPr>
        <w:t xml:space="preserve">run_ibmq.py</w:t>
      </w:r>
      <w:r>
        <w:t xml:space="preserve">) are provided but not part of this classical-layer result set.</w:t>
      </w:r>
      <w:r>
        <w:t xml:space="preserve"> </w:t>
      </w:r>
      <w:r>
        <w:t xml:space="preserve">A physics collaborator is needed to develop realistic Hamiltonians beyond these toy models.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NIFEST.sha25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NIFEST.sha25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2026-08-02T00:08:06Z</dcterms:created>
  <dcterms:modified xsi:type="dcterms:W3CDTF">2026-08-02T00:08:06Z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