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nalysis-plan-ep-agent-001"/>
    <w:p>
      <w:pPr>
        <w:pStyle w:val="Heading1"/>
      </w:pPr>
      <w:r>
        <w:t xml:space="preserve">ANALYSIS PLAN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v0.2-DRAFT (2026-10-15) — DESIGN ONLY. No data exist.</w:t>
      </w:r>
    </w:p>
    <w:bookmarkStart w:id="20" w:name="study-character"/>
    <w:p>
      <w:pPr>
        <w:pStyle w:val="Heading2"/>
      </w:pPr>
      <w:r>
        <w:t xml:space="preserve">1. Study character</w:t>
      </w:r>
    </w:p>
    <w:p>
      <w:pPr>
        <w:pStyle w:val="FirstParagraph"/>
      </w:pPr>
      <w:r>
        <w:t xml:space="preserve">EP-AGENT-001 is a</w:t>
      </w:r>
      <w:r>
        <w:t xml:space="preserve"> </w:t>
      </w:r>
      <w:r>
        <w:rPr>
          <w:bCs/>
          <w:b/>
        </w:rPr>
        <w:t xml:space="preserve">deterministic integration study</w:t>
      </w:r>
      <w:r>
        <w:t xml:space="preserve">. For a fixed contract and fixed policy, the ExecutionProof</w:t>
      </w:r>
      <w:r>
        <w:t xml:space="preserve"> </w:t>
      </w:r>
      <w:r>
        <w:t xml:space="preserve">decision is expected to be deterministic; the study asks whether four integration paths deliver that decision</w:t>
      </w:r>
      <w:r>
        <w:t xml:space="preserve"> </w:t>
      </w:r>
      <w:r>
        <w:t xml:space="preserve">and its ProofRecord linkage intact. Analysis is therefore</w:t>
      </w:r>
      <w:r>
        <w:t xml:space="preserve"> </w:t>
      </w:r>
      <w:r>
        <w:rPr>
          <w:bCs/>
          <w:b/>
        </w:rPr>
        <w:t xml:space="preserve">descriptive</w:t>
      </w:r>
      <w:r>
        <w:t xml:space="preserve">: exact counts, exact agreement, and</w:t>
      </w:r>
      <w:r>
        <w:t xml:space="preserve"> </w:t>
      </w:r>
      <w:r>
        <w:t xml:space="preserve">distributional summaries of engineering metrics. No hypothesis tests are run on primary endpoints.</w:t>
      </w:r>
    </w:p>
    <w:bookmarkEnd w:id="20"/>
    <w:bookmarkStart w:id="21" w:name="primary-endpoints-confirmatory"/>
    <w:p>
      <w:pPr>
        <w:pStyle w:val="Heading2"/>
      </w:pPr>
      <w:r>
        <w:t xml:space="preserve">2. Primary endpoints (confirmatory)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I(integration_complete) over 20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k/20 (x%)</w:t>
            </w:r>
            <w:r>
              <w:t xml:space="preserve">”</w:t>
            </w:r>
            <w:r>
              <w:t xml:space="preserve"> </w:t>
            </w:r>
            <w:r>
              <w:t xml:space="preserve">plus a 4×5 cell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I(observed = expected) over 20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k/20 (x%)</w:t>
            </w:r>
            <w:r>
              <w:t xml:space="preserve">”</w:t>
            </w:r>
            <w:r>
              <w:t xml:space="preserve">; every mismatch listed with framework, case, observed,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case: share of frameworks agreeing with the modal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P3_B1…P3_B5 each as</w:t>
            </w:r>
            <w:r>
              <w:t xml:space="preserve"> </w:t>
            </w:r>
            <w:r>
              <w:t xml:space="preserve">“</w:t>
            </w:r>
            <w:r>
              <w:t xml:space="preserve">k/4</w:t>
            </w:r>
            <w:r>
              <w:t xml:space="preserve">”</w:t>
            </w:r>
            <w:r>
              <w:t xml:space="preserve">; any divergence listed; canonical-field and</w:t>
            </w:r>
            <w:r>
              <w:t xml:space="preserve"> </w:t>
            </w:r>
            <w:r>
              <w:rPr>
                <w:rStyle w:val="VerbatimChar"/>
              </w:rPr>
              <w:t xml:space="preserve">action_hash</w:t>
            </w:r>
            <w:r>
              <w:t xml:space="preserve"> </w:t>
            </w:r>
            <w:r>
              <w:t xml:space="preserve">equality reported per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I(ref returned ∧ resolves ∧ present unchanged in framework-native result) over 20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k/20</w:t>
            </w:r>
            <w:r>
              <w:t xml:space="preserve">”</w:t>
            </w:r>
            <w:r>
              <w:t xml:space="preserve">; failures listed by sub-condition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 with description of any core change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fidelity is exact agreement; there is no tolerance.</w:t>
      </w:r>
      <w:r>
        <w:t xml:space="preserve"> </w:t>
      </w:r>
      <w:r>
        <w:t xml:space="preserve">A verdict is the exact string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DENY</w:t>
      </w:r>
      <w:r>
        <w:t xml:space="preserve">; anything else (including errors, timeouts, or null) is a mismatch.</w:t>
      </w:r>
    </w:p>
    <w:p>
      <w:pPr>
        <w:pStyle w:val="BodyText"/>
      </w:pPr>
      <w:r>
        <w:t xml:space="preserve">Classification is applied mechanically per</w:t>
      </w:r>
      <w:r>
        <w:t xml:space="preserve"> </w:t>
      </w:r>
      <w:r>
        <w:rPr>
          <w:rStyle w:val="VerbatimChar"/>
        </w:rPr>
        <w:t xml:space="preserve">PASS_FAIL_RULES.md</w:t>
      </w:r>
      <w:r>
        <w:t xml:space="preserve">.</w:t>
      </w:r>
    </w:p>
    <w:bookmarkEnd w:id="21"/>
    <w:bookmarkStart w:id="22" w:name="secondary-endpoints-descriptive"/>
    <w:p>
      <w:pPr>
        <w:pStyle w:val="Heading2"/>
      </w:pPr>
      <w:r>
        <w:t xml:space="preserve">3. Secondary endpoints (descriptive)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Adapter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per framework; shared vs framework-specific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Setup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count; time-to-first-verify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Dependency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package count; installed size (MB)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S4/S5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median, p95, min, max per cell; raw values published alongside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 Integration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workarounds/deviations + qualitative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 Configuration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framework-specific config keys/objects</w:t>
            </w:r>
          </w:p>
        </w:tc>
      </w:tr>
    </w:tbl>
    <w:bookmarkEnd w:id="22"/>
    <w:bookmarkStart w:id="23" w:name="latency-protocol"/>
    <w:p>
      <w:pPr>
        <w:pStyle w:val="Heading2"/>
      </w:pPr>
      <w:r>
        <w:t xml:space="preserve">4. Latency protocol</w:t>
      </w:r>
    </w:p>
    <w:p>
      <w:pPr>
        <w:numPr>
          <w:ilvl w:val="0"/>
          <w:numId w:val="1001"/>
        </w:numPr>
        <w:pStyle w:val="Compact"/>
      </w:pPr>
      <w:r>
        <w:t xml:space="preserve">Warmup: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calls per case per framework, discarded.</w:t>
      </w:r>
    </w:p>
    <w:p>
      <w:pPr>
        <w:numPr>
          <w:ilvl w:val="0"/>
          <w:numId w:val="1001"/>
        </w:numPr>
        <w:pStyle w:val="Compact"/>
      </w:pPr>
      <w:r>
        <w:t xml:space="preserve">Sample:</w:t>
      </w:r>
      <w:r>
        <w:t xml:space="preserve"> </w:t>
      </w:r>
      <w:r>
        <w:rPr>
          <w:bCs/>
          <w:b/>
        </w:rPr>
        <w:t xml:space="preserve">30</w:t>
      </w:r>
      <w:r>
        <w:t xml:space="preserve"> </w:t>
      </w:r>
      <w:r>
        <w:t xml:space="preserve">measured calls per case per framework (600 measured calls total).</w:t>
      </w:r>
    </w:p>
    <w:p>
      <w:pPr>
        <w:numPr>
          <w:ilvl w:val="0"/>
          <w:numId w:val="1001"/>
        </w:numPr>
        <w:pStyle w:val="Compact"/>
      </w:pPr>
      <w:r>
        <w:t xml:space="preserve">Timer:</w:t>
      </w:r>
      <w:r>
        <w:t xml:space="preserve"> </w:t>
      </w:r>
      <w:r>
        <w:rPr>
          <w:rStyle w:val="VerbatimChar"/>
        </w:rPr>
        <w:t xml:space="preserve">time.perf_counter_ns()</w:t>
      </w:r>
      <w:r>
        <w:t xml:space="preserve">; boundaries defined in</w:t>
      </w:r>
      <w:r>
        <w:t xml:space="preserve"> </w:t>
      </w:r>
      <w:r>
        <w:rPr>
          <w:rStyle w:val="VerbatimChar"/>
        </w:rPr>
        <w:t xml:space="preserve">STUDY_PROTOCOL.md</w:t>
      </w:r>
      <w:r>
        <w:t xml:space="preserve"> </w:t>
      </w:r>
      <w:r>
        <w:t xml:space="preserve">§7.</w:t>
      </w:r>
    </w:p>
    <w:p>
      <w:pPr>
        <w:numPr>
          <w:ilvl w:val="0"/>
          <w:numId w:val="1001"/>
        </w:numPr>
        <w:pStyle w:val="Compact"/>
      </w:pPr>
      <w:r>
        <w:t xml:space="preserve">Report: median and p95 (p95 = nearest-rank on the 30 samples), plus min/max and the raw vector.</w:t>
      </w:r>
    </w:p>
    <w:p>
      <w:pPr>
        <w:numPr>
          <w:ilvl w:val="0"/>
          <w:numId w:val="1001"/>
        </w:numPr>
        <w:pStyle w:val="Compact"/>
      </w:pPr>
      <w:r>
        <w:t xml:space="preserve">Optional: bootstrap 95% CI for the median, 1,000 resamples, percentile method, seed</w:t>
      </w:r>
      <w:r>
        <w:t xml:space="preserve"> </w:t>
      </w:r>
      <w:r>
        <w:rPr>
          <w:bCs/>
          <w:b/>
        </w:rPr>
        <w:t xml:space="preserve">20261015</w:t>
      </w:r>
      <w:r>
        <w:t xml:space="preserve"> </w:t>
      </w:r>
      <w:r>
        <w:t xml:space="preserve">(frozen v0.3;</w:t>
      </w:r>
      <w:r>
        <w:t xml:space="preserve"> </w:t>
      </w:r>
      <w:r>
        <w:rPr>
          <w:rStyle w:val="VerbatimChar"/>
        </w:rPr>
        <w:t xml:space="preserve">EP_AGENT_001_SEED</w:t>
      </w:r>
      <w:r>
        <w:t xml:space="preserve">). Implemented in</w:t>
      </w:r>
      <w:r>
        <w:t xml:space="preserve"> </w:t>
      </w:r>
      <w:r>
        <w:rPr>
          <w:rStyle w:val="VerbatimChar"/>
        </w:rPr>
        <w:t xml:space="preserve">scripts/analysis/analyze.py</w:t>
      </w:r>
      <w:r>
        <w:t xml:space="preserve">; validated only by</w:t>
      </w:r>
      <w:r>
        <w:t xml:space="preserve"> </w:t>
      </w:r>
      <w:r>
        <w:rPr>
          <w:rStyle w:val="VerbatimChar"/>
        </w:rPr>
        <w:t xml:space="preserve">scripts/analysis/selftest_synthetic.py</w:t>
      </w:r>
      <w:r>
        <w:t xml:space="preserve"> </w:t>
      </w:r>
      <w:r>
        <w:t xml:space="preserve">(synthetic dummy data — not evidence).</w:t>
      </w:r>
    </w:p>
    <w:p>
      <w:pPr>
        <w:numPr>
          <w:ilvl w:val="0"/>
          <w:numId w:val="1001"/>
        </w:numPr>
        <w:pStyle w:val="Compact"/>
      </w:pPr>
      <w:r>
        <w:t xml:space="preserve">Label:</w:t>
      </w:r>
      <w:r>
        <w:t xml:space="preserve"> </w:t>
      </w:r>
      <w:r>
        <w:t xml:space="preserve">“</w:t>
      </w:r>
      <w:r>
        <w:t xml:space="preserve">RF internal measurement</w:t>
      </w:r>
      <w:r>
        <w:t xml:space="preserve">”</w:t>
      </w:r>
      <w:r>
        <w:t xml:space="preserve"> </w:t>
      </w:r>
      <w:r>
        <w:t xml:space="preserve">with host CPU, OS, Python version, and ExecutionProof deployment mode.</w:t>
      </w:r>
    </w:p>
    <w:p>
      <w:pPr>
        <w:numPr>
          <w:ilvl w:val="0"/>
          <w:numId w:val="1001"/>
        </w:numPr>
        <w:pStyle w:val="Compact"/>
      </w:pPr>
      <w:r>
        <w:t xml:space="preserve">Latency never affects classification.</w:t>
      </w:r>
    </w:p>
    <w:bookmarkEnd w:id="23"/>
    <w:bookmarkStart w:id="24" w:name="framework-comparison-table-structure"/>
    <w:p>
      <w:pPr>
        <w:pStyle w:val="Heading2"/>
      </w:pPr>
      <w:r>
        <w:t xml:space="preserve">5. Framework comparison table (structure)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mod?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TTFV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median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p95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openai_agents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Raw values are reported alongside any ranking. No framework is declared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; differences are reported as</w:t>
      </w:r>
      <w:r>
        <w:t xml:space="preserve"> </w:t>
      </w:r>
      <w:r>
        <w:t xml:space="preserve">measured values with host context.</w:t>
      </w:r>
    </w:p>
    <w:bookmarkEnd w:id="24"/>
    <w:bookmarkStart w:id="25" w:name="what-is-not-done"/>
    <w:p>
      <w:pPr>
        <w:pStyle w:val="Heading2"/>
      </w:pPr>
      <w:r>
        <w:t xml:space="preserve">6. What is not done</w:t>
      </w:r>
    </w:p>
    <w:p>
      <w:pPr>
        <w:numPr>
          <w:ilvl w:val="0"/>
          <w:numId w:val="1002"/>
        </w:numPr>
        <w:pStyle w:val="Compact"/>
      </w:pPr>
      <w:r>
        <w:t xml:space="preserve">No inferential statistics are manufactured for trivial technical variability (e.g., no t-tests or p-values on</w:t>
      </w:r>
      <w:r>
        <w:t xml:space="preserve"> </w:t>
      </w:r>
      <w:r>
        <w:t xml:space="preserve">latency differences of a few milliseconds between frameworks on one host).</w:t>
      </w:r>
    </w:p>
    <w:p>
      <w:pPr>
        <w:numPr>
          <w:ilvl w:val="0"/>
          <w:numId w:val="1002"/>
        </w:numPr>
        <w:pStyle w:val="Compact"/>
      </w:pPr>
      <w:r>
        <w:t xml:space="preserve">No post-hoc exclusion of cells, frameworks, or latency outliers. Outliers are reported, not removed.</w:t>
      </w:r>
    </w:p>
    <w:p>
      <w:pPr>
        <w:numPr>
          <w:ilvl w:val="0"/>
          <w:numId w:val="1002"/>
        </w:numPr>
        <w:pStyle w:val="Compact"/>
      </w:pPr>
      <w:r>
        <w:t xml:space="preserve">No pooled</w:t>
      </w:r>
      <w:r>
        <w:t xml:space="preserve"> </w:t>
      </w:r>
      <w:r>
        <w:t xml:space="preserve">“</w:t>
      </w:r>
      <w:r>
        <w:t xml:space="preserve">overall score</w:t>
      </w:r>
      <w:r>
        <w:t xml:space="preserve">”</w:t>
      </w:r>
      <w:r>
        <w:t xml:space="preserve"> </w:t>
      </w:r>
      <w:r>
        <w:t xml:space="preserve">combining primary and secondary endpoints.</w:t>
      </w:r>
    </w:p>
    <w:p>
      <w:pPr>
        <w:numPr>
          <w:ilvl w:val="0"/>
          <w:numId w:val="1002"/>
        </w:numPr>
        <w:pStyle w:val="Compact"/>
      </w:pPr>
      <w:r>
        <w:t xml:space="preserve">No re-analysis that changes thresholds after data are seen.</w:t>
      </w:r>
    </w:p>
    <w:bookmarkEnd w:id="25"/>
    <w:bookmarkStart w:id="26" w:name="deviation-handling"/>
    <w:p>
      <w:pPr>
        <w:pStyle w:val="Heading2"/>
      </w:pPr>
      <w:r>
        <w:t xml:space="preserve">7. Deviation handling</w:t>
      </w:r>
    </w:p>
    <w:p>
      <w:pPr>
        <w:numPr>
          <w:ilvl w:val="0"/>
          <w:numId w:val="1003"/>
        </w:numPr>
        <w:pStyle w:val="Compact"/>
      </w:pPr>
      <w:r>
        <w:t xml:space="preserve">Deviations are logged per</w:t>
      </w:r>
      <w:r>
        <w:t xml:space="preserve"> </w:t>
      </w:r>
      <w:r>
        <w:rPr>
          <w:rStyle w:val="VerbatimChar"/>
        </w:rPr>
        <w:t xml:space="preserve">STUDY_PROTOCOL.md</w:t>
      </w:r>
      <w:r>
        <w:t xml:space="preserve"> </w:t>
      </w:r>
      <w:r>
        <w:t xml:space="preserve">§10 and reported in a dedicated section of the results.</w:t>
      </w:r>
    </w:p>
    <w:p>
      <w:pPr>
        <w:numPr>
          <w:ilvl w:val="0"/>
          <w:numId w:val="1003"/>
        </w:numPr>
        <w:pStyle w:val="Compact"/>
      </w:pPr>
      <w:r>
        <w:t xml:space="preserve">Any analysis not specified here is labelled</w:t>
      </w:r>
      <w:r>
        <w:t xml:space="preserve"> </w:t>
      </w:r>
      <w:r>
        <w:rPr>
          <w:bCs/>
          <w:b/>
        </w:rPr>
        <w:t xml:space="preserve">exploratory</w:t>
      </w:r>
      <w:r>
        <w:t xml:space="preserve"> </w:t>
      </w:r>
      <w:r>
        <w:t xml:space="preserve">and cannot change the classification.</w:t>
      </w:r>
    </w:p>
    <w:p>
      <w:pPr>
        <w:numPr>
          <w:ilvl w:val="0"/>
          <w:numId w:val="1003"/>
        </w:numPr>
        <w:pStyle w:val="Compact"/>
      </w:pPr>
      <w:r>
        <w:t xml:space="preserve">If an INCONCLUSIVE condition is invoked, the analysis reports all cells that did complete, clearly marked, and</w:t>
      </w:r>
      <w:r>
        <w:t xml:space="preserve"> </w:t>
      </w:r>
      <w:r>
        <w:t xml:space="preserve">names the invalidation condition with evidence.</w:t>
      </w:r>
    </w:p>
    <w:bookmarkEnd w:id="26"/>
    <w:bookmarkStart w:id="27" w:name="missing-data"/>
    <w:p>
      <w:pPr>
        <w:pStyle w:val="Heading2"/>
      </w:pPr>
      <w:r>
        <w:t xml:space="preserve">8. Missing data</w:t>
      </w:r>
    </w:p>
    <w:p>
      <w:pPr>
        <w:pStyle w:val="FirstParagraph"/>
      </w:pPr>
      <w:r>
        <w:t xml:space="preserve">A cell with no usable decision response counts as</w:t>
      </w:r>
      <w:r>
        <w:t xml:space="preserve"> </w:t>
      </w:r>
      <w:r>
        <w:rPr>
          <w:rStyle w:val="VerbatimChar"/>
        </w:rPr>
        <w:t xml:space="preserve">integration_complete = false</w:t>
      </w:r>
      <w:r>
        <w:t xml:space="preserve">, a P2 mismatch, and a P4 failure,</w:t>
      </w:r>
      <w:r>
        <w:t xml:space="preserve"> </w:t>
      </w:r>
      <w:r>
        <w:t xml:space="preserve">unless an INCONCLUSIVE condition is documented for that cell; in that case it is reported as invalidated, not</w:t>
      </w:r>
      <w:r>
        <w:t xml:space="preserve"> </w:t>
      </w:r>
      <w:r>
        <w:t xml:space="preserve">silently dropped.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2026-10-16T00:22:27Z</dcterms:created>
  <dcterms:modified xsi:type="dcterms:W3CDTF">2026-10-16T00:22:27Z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