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laim-boundary--ep-agent-001"/>
    <w:p>
      <w:pPr>
        <w:pStyle w:val="Heading1"/>
      </w:pPr>
      <w:r>
        <w:t xml:space="preserve">CLAIM BOUNDARY — EP-AGENT-001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v0.3.4-DRAFT (2026-10-16; pending-narrowing pointer added) — superseded: v0.1-DRAFT (2026-10-15) — Status: DESIGN ONLY. No results exist; no claim below is currently made.</w:t>
      </w:r>
    </w:p>
    <w:p>
      <w:pPr>
        <w:pStyle w:val="BodyText"/>
      </w:pPr>
      <w:r>
        <w:t xml:space="preserve">Principle:</w:t>
      </w:r>
      <w:r>
        <w:t xml:space="preserve"> </w:t>
      </w:r>
      <w:r>
        <w:rPr>
          <w:bCs/>
          <w:b/>
        </w:rPr>
        <w:t xml:space="preserve">claims remain narrower than evidence.</w:t>
      </w:r>
    </w:p>
    <w:p>
      <w:pPr>
        <w:pStyle w:val="BodyText"/>
      </w:pPr>
      <w:r>
        <w:rPr>
          <w:bCs/>
          <w:b/>
        </w:rPr>
        <w:t xml:space="preserve">Pending narrowing (v0.3.3 pointer; not yet operative):</w:t>
      </w:r>
      <w:r>
        <w:t xml:space="preserve"> </w:t>
      </w:r>
      <w:r>
        <w:t xml:space="preserve">if the PREREGISTRATION §18 amendment (DRAFT, NOT FILED) is</w:t>
      </w:r>
      <w:r>
        <w:t xml:space="preserve"> </w:t>
      </w:r>
      <w:r>
        <w:t xml:space="preserve">approved and filed, the §1 claim refers only to the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decision path of the pinned ExecutionProof Controlled</w:t>
      </w:r>
      <w:r>
        <w:t xml:space="preserve"> </w:t>
      </w:r>
      <w:r>
        <w:t xml:space="preserve">Reference Verifier (</w:t>
      </w:r>
      <w:r>
        <w:rPr>
          <w:rStyle w:val="VerbatimChar"/>
        </w:rPr>
        <w:t xml:space="preserve">v0.1.2-reference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b03365d57880e896c35e72898f8335a1826afe74</w:t>
      </w:r>
      <w:r>
        <w:t xml:space="preserve">, with the study policy and</w:t>
      </w:r>
      <w:r>
        <w:t xml:space="preserve"> </w:t>
      </w:r>
      <w:r>
        <w:t xml:space="preserve">evidence registry hashes in</w:t>
      </w:r>
      <w:r>
        <w:t xml:space="preserve"> </w:t>
      </w:r>
      <w:r>
        <w:rPr>
          <w:rStyle w:val="VerbatimChar"/>
        </w:rPr>
        <w:t xml:space="preserve">EXECUTIONPROOF_PIN.md</w:t>
      </w:r>
      <w:r>
        <w:t xml:space="preserve">) and must carry the reference-implementation disclosure. It may</w:t>
      </w:r>
      <w:r>
        <w:t xml:space="preserve"> </w:t>
      </w:r>
      <w:r>
        <w:t xml:space="preserve">not be broadened to any other ExecutionProof build, deployment, or version. The text below is otherwise unchanged.</w:t>
      </w:r>
    </w:p>
    <w:p>
      <w:r>
        <w:pict>
          <v:rect style="width:0;height:1.5pt" o:hralign="center" o:hrstd="t" o:hr="t"/>
        </w:pict>
      </w:r>
    </w:p>
    <w:bookmarkStart w:id="20" w:name="Xb59d2ddcbc4b875090c7e3e941a476a6f24e49a"/>
    <w:p>
      <w:pPr>
        <w:pStyle w:val="Heading2"/>
      </w:pPr>
      <w:r>
        <w:t xml:space="preserve">1. Maximum allowed successful claim (verbatim; usable only if the classification is PASS)</w:t>
      </w:r>
    </w:p>
    <w:p>
      <w:pPr>
        <w:pStyle w:val="BlockText"/>
      </w:pPr>
      <w:r>
        <w:t xml:space="preserve">"In an RF-run internal study, the ExecutionProof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decision path was integrated with four selected agent</w:t>
      </w:r>
      <w:r>
        <w:t xml:space="preserve"> </w:t>
      </w:r>
      <w:r>
        <w:t xml:space="preserve">frameworks (OpenAI Agents SDK 0.24.0, LangGraph 1.2.15, CrewAI 1.15.28, Microsoft Agent Framework 1.22.0)</w:t>
      </w:r>
      <w:r>
        <w:t xml:space="preserve"> </w:t>
      </w:r>
      <w:r>
        <w:t xml:space="preserve">through thin single-agent adapters using one frozen Request Contract. Across five benign, policy-driven</w:t>
      </w:r>
      <w:r>
        <w:t xml:space="preserve"> </w:t>
      </w:r>
      <w:r>
        <w:t xml:space="preserve">fixtures, all 20 framework × case cells returned the preregistered ALLOW / HOLD / DENY verdict with ProofRecord</w:t>
      </w:r>
      <w:r>
        <w:t xml:space="preserve"> </w:t>
      </w:r>
      <w:r>
        <w:t xml:space="preserve">linkage, without modification of the ExecutionProof core decision engine."</w:t>
      </w:r>
    </w:p>
    <w:p>
      <w:pPr>
        <w:pStyle w:val="FirstParagraph"/>
      </w:pPr>
      <w:r>
        <w:t xml:space="preserve">For PARTIAL, the claim must name exactly which frameworks met which endpoints and which did not. For FAIL, the</w:t>
      </w:r>
      <w:r>
        <w:t xml:space="preserve"> </w:t>
      </w:r>
      <w:r>
        <w:t xml:space="preserve">failure is reported first and in full. For INCONCLUSIVE, the invalidation condition is named and no portability</w:t>
      </w:r>
      <w:r>
        <w:t xml:space="preserve"> </w:t>
      </w:r>
      <w:r>
        <w:t xml:space="preserve">claim is made.</w:t>
      </w:r>
    </w:p>
    <w:bookmarkEnd w:id="20"/>
    <w:bookmarkStart w:id="21" w:name="X874be8110eaaaff62a435d3508f0b6ae19466c9"/>
    <w:p>
      <w:pPr>
        <w:pStyle w:val="Heading2"/>
      </w:pPr>
      <w:r>
        <w:t xml:space="preserve">2. Required qualifiers (every external or internal summary must carry all of these)</w:t>
      </w:r>
    </w:p>
    <w:p>
      <w:pPr>
        <w:numPr>
          <w:ilvl w:val="0"/>
          <w:numId w:val="1001"/>
        </w:numPr>
        <w:pStyle w:val="Compact"/>
      </w:pPr>
      <w:r>
        <w:t xml:space="preserve">"RF-run internal study" — never "independent", "third-party", or "external".</w:t>
      </w:r>
    </w:p>
    <w:p>
      <w:pPr>
        <w:numPr>
          <w:ilvl w:val="0"/>
          <w:numId w:val="1001"/>
        </w:numPr>
        <w:pStyle w:val="Compact"/>
      </w:pPr>
      <w:r>
        <w:t xml:space="preserve">The exact framework versions tested; no generalization to other versions.</w:t>
      </w:r>
    </w:p>
    <w:p>
      <w:pPr>
        <w:numPr>
          <w:ilvl w:val="0"/>
          <w:numId w:val="1001"/>
        </w:numPr>
        <w:pStyle w:val="Compact"/>
      </w:pPr>
      <w:r>
        <w:t xml:space="preserve">"Single-agent tool-call path only"; delegation/handoff features not used.</w:t>
      </w:r>
    </w:p>
    <w:p>
      <w:pPr>
        <w:numPr>
          <w:ilvl w:val="0"/>
          <w:numId w:val="1001"/>
        </w:numPr>
        <w:pStyle w:val="Compact"/>
      </w:pPr>
      <w:r>
        <w:t xml:space="preserve">"Five benign, policy-driven fixtures"; "not an adversarial evaluation".</w:t>
      </w:r>
    </w:p>
    <w:p>
      <w:pPr>
        <w:numPr>
          <w:ilvl w:val="0"/>
          <w:numId w:val="1001"/>
        </w:numPr>
        <w:pStyle w:val="Compact"/>
      </w:pPr>
      <w:r>
        <w:t xml:space="preserve">"Local/sandbox ExecutionProof instance with mock downstream targets"; not production.</w:t>
      </w:r>
    </w:p>
    <w:p>
      <w:pPr>
        <w:numPr>
          <w:ilvl w:val="0"/>
          <w:numId w:val="1001"/>
        </w:numPr>
        <w:pStyle w:val="Compact"/>
      </w:pPr>
      <w:r>
        <w:t xml:space="preserve">Latency figures labelled "RF internal measurement" with host spec.</w:t>
      </w:r>
    </w:p>
    <w:p>
      <w:pPr>
        <w:numPr>
          <w:ilvl w:val="0"/>
          <w:numId w:val="1001"/>
        </w:numPr>
        <w:pStyle w:val="Compact"/>
      </w:pPr>
      <w:r>
        <w:t xml:space="preserve">The non-interference statement: "It makes no claim about adversarial robustness, multi-agent authorization, or independent reproducibility, which are the subject of independent university projects."</w:t>
      </w:r>
    </w:p>
    <w:bookmarkEnd w:id="21"/>
    <w:bookmarkStart w:id="22" w:name="X0587944ee1214736f643e4b394fa00c51499e23"/>
    <w:p>
      <w:pPr>
        <w:pStyle w:val="Heading2"/>
      </w:pPr>
      <w:r>
        <w:t xml:space="preserve">3. Prohibited claims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Prohibited claim or wording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"ExecutionProof works with any / all agent frameworks"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four pinned versions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"Framework-agnostic" or "universally portable" without the tested-version 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Overgeneralization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"Secure", "attack-resistant", "tamper-proof", "bypass-proof", or "robust" on the basis of this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adversarial testing (UD / UW P1)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"Prevents replay", "prevents mutation", "no false-ALLOW" on the basis of this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Reserved; not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claim about multi-agent, delegated, or agent-to-agent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 (UW P2); not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"Independently validated", "independently reproduced", "reproduced by", "externally verified"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 (UW P4); RF-run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"Conformant", "RF-100 conformant", "certified", "compliant"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 (UW P4); RF cannot self-certify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Calling any university "a validator" or implying university endorsement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"Production-ready" or "enterprise-proven" on the basis of this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"Zero overhead", "negligible latency", or latency comparisons as general performance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Internal, host-specific 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"Novel" / "first" without a cited literature review supporting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Novelty not established by this study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Framing results as answering, pre-empting, or anticipating UD or UW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3–4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claim before preregistration SHA lock and authorized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results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Re-describing a FAIL or PARTIAL as PASS after 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11; FAIL and fix are two facts</w:t>
            </w:r>
          </w:p>
        </w:tc>
      </w:tr>
    </w:tbl>
    <w:bookmarkEnd w:id="22"/>
    <w:bookmarkStart w:id="23" w:name="Xad42fd66e47a5be5207380cb1c8b25970b76976"/>
    <w:p>
      <w:pPr>
        <w:pStyle w:val="Heading2"/>
      </w:pPr>
      <w:r>
        <w:t xml:space="preserve">4. Scientific vs. commercial separation rule</w:t>
      </w:r>
    </w:p>
    <w:p>
      <w:pPr>
        <w:numPr>
          <w:ilvl w:val="0"/>
          <w:numId w:val="1002"/>
        </w:numPr>
        <w:pStyle w:val="Compact"/>
      </w:pPr>
      <w:r>
        <w:t xml:space="preserve">The scientific record (preregistration, results, classification) is written first and stands alone.</w:t>
      </w:r>
    </w:p>
    <w:p>
      <w:pPr>
        <w:numPr>
          <w:ilvl w:val="0"/>
          <w:numId w:val="1002"/>
        </w:numPr>
        <w:pStyle w:val="Compact"/>
      </w:pPr>
      <w:r>
        <w:t xml:space="preserve">The commercial question ("Can an implementation partner retain its preferred agent framework while</w:t>
      </w:r>
      <w:r>
        <w:t xml:space="preserve"> </w:t>
      </w:r>
      <w:r>
        <w:t xml:space="preserve">ExecutionProof remains an independent pre-execution verification boundary?") is answered, if at all, in a</w:t>
      </w:r>
      <w:r>
        <w:t xml:space="preserve"> </w:t>
      </w:r>
      <w:r>
        <w:t xml:space="preserve">separate document that cites the scientific record and inherits every qualifier in §2.</w:t>
      </w:r>
    </w:p>
    <w:p>
      <w:pPr>
        <w:numPr>
          <w:ilvl w:val="0"/>
          <w:numId w:val="1002"/>
        </w:numPr>
        <w:pStyle w:val="Compact"/>
      </w:pPr>
      <w:r>
        <w:t xml:space="preserve">Commercial material may not upgrade the classification, drop qualifiers, or round PARTIAL up to PASS.</w:t>
      </w:r>
    </w:p>
    <w:p>
      <w:pPr>
        <w:numPr>
          <w:ilvl w:val="0"/>
          <w:numId w:val="1002"/>
        </w:numPr>
        <w:pStyle w:val="Compact"/>
      </w:pPr>
      <w:r>
        <w:t xml:space="preserve">"Independent" in the CQ refers to architectural separation of the verification boundary from the agent</w:t>
      </w:r>
      <w:r>
        <w:t xml:space="preserve"> </w:t>
      </w:r>
      <w:r>
        <w:t xml:space="preserve">framework — never to independent validation. Commercial copy must make that distinction explicit.</w:t>
      </w:r>
    </w:p>
    <w:p>
      <w:pPr>
        <w:numPr>
          <w:ilvl w:val="0"/>
          <w:numId w:val="1002"/>
        </w:numPr>
        <w:pStyle w:val="Compact"/>
      </w:pPr>
      <w:r>
        <w:t xml:space="preserve">No result is published or archived (including to Zenodo) without Derek Hone's separate publication authorization.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2026-10-16T02:25:28Z</dcterms:created>
  <dcterms:modified xsi:type="dcterms:W3CDTF">2026-10-16T02:25:28Z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