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limitations--ep-agent-001"/>
    <w:p>
      <w:pPr>
        <w:pStyle w:val="Heading1"/>
      </w:pPr>
      <w:r>
        <w:t xml:space="preserve">LIMITATIONS — EP-AGENT-001</w:t>
      </w:r>
    </w:p>
    <w:p>
      <w:pPr>
        <w:pStyle w:val="FirstParagraph"/>
      </w:pPr>
      <w:r>
        <w:rPr>
          <w:bCs/>
          <w:b/>
        </w:rPr>
        <w:t xml:space="preserve">Version:</w:t>
      </w:r>
      <w:r>
        <w:t xml:space="preserve"> </w:t>
      </w:r>
      <w:r>
        <w:t xml:space="preserve">v0.3.4-DRAFT (2026-10-16; item 1 pin pointer added) — superseded: v0.2-DRAFT (2026-10-15). These limitations bind every claim made from this study.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Tested versions only.</w:t>
      </w:r>
      <w:r>
        <w:t xml:space="preserve"> </w:t>
      </w:r>
      <w:r>
        <w:t xml:space="preserve">Results (once they exist) apply only to the versions pinned at freeze:</w:t>
      </w:r>
      <w:r>
        <w:t xml:space="preserve"> </w:t>
      </w:r>
      <w:r>
        <w:t xml:space="preserve">openai-agents 0.24.0, langgraph 1.2.15, crewai 1.15.28, agent-framework 1.22.0, and the pinned ExecutionProof</w:t>
      </w:r>
      <w:r>
        <w:t xml:space="preserve"> </w:t>
      </w:r>
      <w:r>
        <w:t xml:space="preserve">version/commit.</w:t>
      </w:r>
      <w:r>
        <w:t xml:space="preserve"> </w:t>
      </w:r>
      <w:r>
        <w:rPr>
          <w:iCs/>
          <w:i/>
        </w:rPr>
        <w:t xml:space="preserve">(v0.3.3 pin: ExecutionProof Controlled Reference Verifier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v0.1.2-reference</w:t>
      </w:r>
      <w:r>
        <w:rPr>
          <w:iCs/>
          <w:i/>
        </w:rPr>
        <w:t xml:space="preserve"> </w:t>
      </w:r>
      <w:r>
        <w:rPr>
          <w:iCs/>
          <w:i/>
        </w:rPr>
        <w:t xml:space="preserve">@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b03365d5</w:t>
      </w:r>
      <w:r>
        <w:rPr>
          <w:iCs/>
          <w:i/>
        </w:rPr>
        <w:t xml:space="preserve"> </w:t>
      </w:r>
      <w:r>
        <w:rPr>
          <w:iCs/>
          <w:i/>
        </w:rPr>
        <w:t xml:space="preserve">— a</w:t>
      </w:r>
      <w:r>
        <w:rPr>
          <w:iCs/>
          <w:i/>
        </w:rPr>
        <w:t xml:space="preserve"> </w:t>
      </w:r>
      <w:r>
        <w:rPr>
          <w:iCs/>
          <w:i/>
        </w:rPr>
        <w:t xml:space="preserve">controlled reference implementation, not a production deployment; see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EXECUTIONPROOF_PIN.md</w:t>
      </w:r>
      <w:r>
        <w:rPr>
          <w:iCs/>
          <w:i/>
        </w:rPr>
        <w:t xml:space="preserve"> </w:t>
      </w:r>
      <w:r>
        <w:rPr>
          <w:iCs/>
          <w:i/>
        </w:rPr>
        <w:t xml:space="preserve">and the</w:t>
      </w:r>
      <w:r>
        <w:rPr>
          <w:iCs/>
          <w:i/>
        </w:rPr>
        <w:t xml:space="preserve"> </w:t>
      </w:r>
      <w:r>
        <w:rPr>
          <w:iCs/>
          <w:i/>
        </w:rPr>
        <w:t xml:space="preserve">PREREGISTRATION §18 pending amendment, DRAFT, NOT FILED.)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Selected frameworks only.</w:t>
      </w:r>
      <w:r>
        <w:t xml:space="preserve"> </w:t>
      </w:r>
      <w:r>
        <w:t xml:space="preserve">Four of many frameworks. Google ADK is an eligible future extension that is</w:t>
      </w:r>
      <w:r>
        <w:t xml:space="preserve"> </w:t>
      </w:r>
      <w:r>
        <w:t xml:space="preserve">NOT included in v1 (Derek Hone decision, 2026-10-15); it is untested, as are AutoGen, AG2, and all</w:t>
      </w:r>
      <w:r>
        <w:t xml:space="preserve"> </w:t>
      </w:r>
      <w:r>
        <w:t xml:space="preserve">other frameworks. No generalization to "any framework".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Benign fixtures only.</w:t>
      </w:r>
      <w:r>
        <w:t xml:space="preserve"> </w:t>
      </w:r>
      <w:r>
        <w:t xml:space="preserve">Five cases (B1–B5). This is not an adversarial evaluation and says nothing about</w:t>
      </w:r>
      <w:r>
        <w:t xml:space="preserve"> </w:t>
      </w:r>
      <w:r>
        <w:t xml:space="preserve">behaviour under hostile, malformed, or manipulated input.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 action archetype.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SUBMIT_EXTERNAL_ACTION</w:t>
      </w:r>
      <w:r>
        <w:t xml:space="preserve"> </w:t>
      </w:r>
      <w:r>
        <w:t xml:space="preserve">against a mock target.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Local/sandbox execution.</w:t>
      </w:r>
      <w:r>
        <w:t xml:space="preserve"> </w:t>
      </w:r>
      <w:r>
        <w:t xml:space="preserve">Not production systems; mock downstream effects; latency is host-specific.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Single-agent, single-action paths only.</w:t>
      </w:r>
      <w:r>
        <w:t xml:space="preserve"> </w:t>
      </w:r>
      <w:r>
        <w:t xml:space="preserve">One agent → one proposed action →</w:t>
      </w:r>
      <w:r>
        <w:t xml:space="preserve"> </w:t>
      </w:r>
      <w:r>
        <w:rPr>
          <w:rStyle w:val="VerbatimChar"/>
        </w:rPr>
        <w:t xml:space="preserve">/verify</w:t>
      </w:r>
      <w:r>
        <w:t xml:space="preserve"> </w:t>
      </w:r>
      <w:r>
        <w:t xml:space="preserve">→ simulated downstream</w:t>
      </w:r>
      <w:r>
        <w:t xml:space="preserve"> </w:t>
      </w:r>
      <w:r>
        <w:t xml:space="preserve">boundary, one tool call per run. Delegation, handoffs, agent-to-agent calls, shared/inherited authority,</w:t>
      </w:r>
      <w:r>
        <w:t xml:space="preserve"> </w:t>
      </w:r>
      <w:r>
        <w:t xml:space="preserve">multi-agent orchestration, and single-agent parallel tool calls are excluded.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Deterministic tool invocation.</w:t>
      </w:r>
      <w:r>
        <w:t xml:space="preserve"> </w:t>
      </w:r>
      <w:r>
        <w:t xml:space="preserve">Tool arguments come from fixtures, not model reasoning; the study does not</w:t>
      </w:r>
      <w:r>
        <w:t xml:space="preserve"> </w:t>
      </w:r>
      <w:r>
        <w:t xml:space="preserve">measure whether an LLM-driven agent chooses to call the tool or fills arguments correctly.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RF-run study.</w:t>
      </w:r>
      <w:r>
        <w:t xml:space="preserve"> </w:t>
      </w:r>
      <w:r>
        <w:t xml:space="preserve">Not independent reproduction; RF authored the system, adapters, fixtures, and analysis.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Does not address:</w:t>
      </w:r>
      <w:r>
        <w:t xml:space="preserve"> </w:t>
      </w:r>
      <w:r>
        <w:t xml:space="preserve">adversarial robustness, multi-agent authorization, external conformance, bypass</w:t>
      </w:r>
      <w:r>
        <w:t xml:space="preserve"> </w:t>
      </w:r>
      <w:r>
        <w:t xml:space="preserve">resistance, replay resistance, mutation resistance, ProofRecord integrity under attack, false-ALLOW rates.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Claim narrower than evidence.</w:t>
      </w:r>
      <w:r>
        <w:t xml:space="preserve"> </w:t>
      </w:r>
      <w:r>
        <w:t xml:space="preserve">The claim ceiling in</w:t>
      </w:r>
      <w:r>
        <w:t xml:space="preserve"> </w:t>
      </w:r>
      <w:r>
        <w:rPr>
          <w:rStyle w:val="VerbatimChar"/>
        </w:rPr>
        <w:t xml:space="preserve">CLAIM_BOUNDARY.md</w:t>
      </w:r>
      <w:r>
        <w:t xml:space="preserve"> </w:t>
      </w:r>
      <w:r>
        <w:t xml:space="preserve">governs all reporting.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Snapshot in time.</w:t>
      </w:r>
      <w:r>
        <w:t xml:space="preserve"> </w:t>
      </w:r>
      <w:r>
        <w:t xml:space="preserve">Framework behaviour at pinned versions may change in future releases; the stub</w:t>
      </w:r>
      <w:r>
        <w:t xml:space="preserve"> </w:t>
      </w:r>
      <w:r>
        <w:t xml:space="preserve">integration points in</w:t>
      </w:r>
      <w:r>
        <w:t xml:space="preserve"> </w:t>
      </w:r>
      <w:r>
        <w:rPr>
          <w:rStyle w:val="VerbatimChar"/>
        </w:rPr>
        <w:t xml:space="preserve">adapters/</w:t>
      </w:r>
      <w:r>
        <w:t xml:space="preserve"> </w:t>
      </w:r>
      <w:r>
        <w:t xml:space="preserve">are validated against real framework APIs only at freeze.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Small case count.</w:t>
      </w:r>
      <w:r>
        <w:t xml:space="preserve"> </w:t>
      </w:r>
      <w:r>
        <w:t xml:space="preserve">Five cases exercise each core invariant once; they demonstrate path portability, not</w:t>
      </w:r>
      <w:r>
        <w:t xml:space="preserve"> </w:t>
      </w:r>
      <w:r>
        <w:t xml:space="preserve">coverage of the policy space.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Framework facts as of 2026-10-15.</w:t>
      </w:r>
      <w:r>
        <w:t xml:space="preserve"> </w:t>
      </w:r>
      <w:r>
        <w:t xml:space="preserve">Versions, release dates, and maintenance status come from design-time</w:t>
      </w:r>
      <w:r>
        <w:t xml:space="preserve"> </w:t>
      </w:r>
      <w:r>
        <w:t xml:space="preserve">research and must be re-confirmed at freeze.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2026-10-16T02:25:30Z</dcterms:created>
  <dcterms:modified xsi:type="dcterms:W3CDTF">2026-10-16T02:25:30Z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