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8545b1f643512fc7ee18422c5f8c788e82ebd9"/>
    <w:p>
      <w:pPr>
        <w:pStyle w:val="Heading1"/>
      </w:pPr>
      <w:r>
        <w:t xml:space="preserve">REQUEST CONTRACT — EP-AGENT-001 (framework-neutral, frozen at preregistration)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contract schema 1.0 / packet v0.2-DRAFT (2026-10-15)</w:t>
      </w:r>
    </w:p>
    <w:p>
      <w:pPr>
        <w:pStyle w:val="BodyText"/>
      </w:pPr>
      <w:r>
        <w:t xml:space="preserve">Every adapter must emit exactly this structure. No framework may add, drop, rename, or reinterpret a field.</w:t>
      </w:r>
      <w:r>
        <w:t xml:space="preserve"> </w:t>
      </w:r>
      <w:r>
        <w:t xml:space="preserve">Multi-agent delegation fields (delegator, delegation chain, on-behalf-of, parent agent, handoff source) are</w:t>
      </w:r>
      <w:r>
        <w:t xml:space="preserve"> </w:t>
      </w:r>
      <w:r>
        <w:rPr>
          <w:bCs/>
          <w:b/>
        </w:rPr>
        <w:t xml:space="preserve">intentionally excluded</w:t>
      </w:r>
      <w:r>
        <w:t xml:space="preserve"> </w:t>
      </w:r>
      <w:r>
        <w:t xml:space="preserve">— they belong to the UW P2 reserved lane. Each contract represents one proposed action</w:t>
      </w:r>
      <w:r>
        <w:t xml:space="preserve"> </w:t>
      </w:r>
      <w:r>
        <w:t xml:space="preserve">by one agent; there are no shared, inherited, or propagated authority fields, and one contract is submitted per</w:t>
      </w:r>
      <w:r>
        <w:t xml:space="preserve"> </w:t>
      </w:r>
      <w:r>
        <w:t xml:space="preserve">run (no single-agent parallel tool calls in v1).</w:t>
      </w:r>
    </w:p>
    <w:p>
      <w:r>
        <w:pict>
          <v:rect style="width:0;height:1.5pt" o:hralign="center" o:hrstd="t" o:hr="t"/>
        </w:pict>
      </w:r>
    </w:p>
    <w:bookmarkStart w:id="20" w:name="field-definitions"/>
    <w:p>
      <w:pPr>
        <w:pStyle w:val="Heading2"/>
      </w:pPr>
      <w:r>
        <w:t xml:space="preserve">1. Field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rule (all frameworks)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this verification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"ep-" + first 8 hex chars of nonce</w:t>
            </w:r>
            <w:r>
              <w:t xml:space="preserve">; generated by normalizer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of the actor requesting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verbatim from fixture / tool argument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of the agent (may equal actor_id for single-agent)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Single-agent study: set equal to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Originating framework identifier, for audit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per adapter:</w:t>
            </w:r>
            <w:r>
              <w:t xml:space="preserve"> </w:t>
            </w:r>
            <w:r>
              <w:rPr>
                <w:rStyle w:val="VerbatimChar"/>
              </w:rPr>
              <w:t xml:space="preserve">openai_agents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crewai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maf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Never used in any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/ environment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config; study value</w:t>
            </w:r>
            <w:r>
              <w:t xml:space="preserve"> </w:t>
            </w:r>
            <w:r>
              <w:rPr>
                <w:rStyle w:val="VerbatimChar"/>
              </w:rPr>
              <w:t xml:space="preserve">ep-agent-001-test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verbatim; study value</w:t>
            </w:r>
            <w:r>
              <w:t xml:space="preserve"> </w:t>
            </w:r>
            <w:r>
              <w:rPr>
                <w:rStyle w:val="VerbatimChar"/>
              </w:rPr>
              <w:t xml:space="preserve">SUBMIT_EXTERNAL_ACTION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resource or endpoint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verbatim; mock targets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parameters (key–value pairs)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as a JSON object; framework-native argument wrappers removed; no coercion of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authority_reference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the applicable authority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verbatim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(policy may require ≥1)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 evidence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verbatim; absent/None →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the applicable constraint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verbatim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current_state_reference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current system state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verbatim; absent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 UTC datetime)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of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datetime.now(timezone.utc).isoformat()</w:t>
            </w:r>
            <w:r>
              <w:t xml:space="preserve"> </w:t>
            </w:r>
            <w:r>
              <w:t xml:space="preserve">at normalization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nonce for this request (prevents replay at contract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hex chars from SHA-256 over actor, action, timestamp, and 128 bits of CSPRNG randomness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(64 hex)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of deterministic canonical action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§2</w:t>
            </w:r>
          </w:p>
        </w:tc>
      </w:tr>
    </w:tbl>
    <w:p>
      <w:pPr>
        <w:pStyle w:val="BodyText"/>
      </w:pPr>
      <w:r>
        <w:t xml:space="preserve">“</w:t>
      </w:r>
      <w:r>
        <w:t xml:space="preserve">Optional</w:t>
      </w:r>
      <w:r>
        <w:t xml:space="preserve">”</w:t>
      </w:r>
      <w:r>
        <w:t xml:space="preserve"> </w:t>
      </w:r>
      <w:r>
        <w:t xml:space="preserve">means schema-optional. Whether evidence is required is decided by the referenced policy, not the</w:t>
      </w:r>
      <w:r>
        <w:t xml:space="preserve"> </w:t>
      </w:r>
      <w:r>
        <w:t xml:space="preserve">schema; an empty</w:t>
      </w:r>
      <w:r>
        <w:t xml:space="preserve"> </w:t>
      </w:r>
      <w:r>
        <w:rPr>
          <w:rStyle w:val="VerbatimChar"/>
        </w:rPr>
        <w:t xml:space="preserve">evidence_references</w:t>
      </w:r>
      <w:r>
        <w:t xml:space="preserve"> </w:t>
      </w:r>
      <w:r>
        <w:t xml:space="preserve">under a policy that requires evidence makes the contract</w:t>
      </w:r>
      <w:r>
        <w:t xml:space="preserve"> </w:t>
      </w:r>
      <w:r>
        <w:rPr>
          <w:bCs/>
          <w:b/>
        </w:rPr>
        <w:t xml:space="preserve">incomplete</w:t>
      </w:r>
      <w:r>
        <w:t xml:space="preserve"> </w:t>
      </w:r>
      <w:r>
        <w:t xml:space="preserve">(→ HOLD). Likewise,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/ absent</w:t>
      </w:r>
      <w:r>
        <w:t xml:space="preserve"> </w:t>
      </w:r>
      <w:r>
        <w:rPr>
          <w:rStyle w:val="VerbatimChar"/>
        </w:rPr>
        <w:t xml:space="preserve">current_state_reference</w:t>
      </w:r>
      <w:r>
        <w:t xml:space="preserve"> </w:t>
      </w:r>
      <w:r>
        <w:t xml:space="preserve">under a policy whose</w:t>
      </w:r>
      <w:r>
        <w:t xml:space="preserve"> </w:t>
      </w:r>
      <w:r>
        <w:rPr>
          <w:rStyle w:val="VerbatimChar"/>
        </w:rPr>
        <w:t xml:space="preserve">contract_completeness_requirement</w:t>
      </w:r>
      <w:r>
        <w:t xml:space="preserve"> </w:t>
      </w:r>
      <w:r>
        <w:t xml:space="preserve">lists it makes the contract</w:t>
      </w:r>
      <w:r>
        <w:t xml:space="preserve"> </w:t>
      </w:r>
      <w:r>
        <w:rPr>
          <w:bCs/>
          <w:b/>
        </w:rPr>
        <w:t xml:space="preserve">incomplete</w:t>
      </w:r>
      <w:r>
        <w:t xml:space="preserve"> </w:t>
      </w:r>
      <w:r>
        <w:t xml:space="preserve">(→ HOLD) — fixture</w:t>
      </w:r>
      <w:r>
        <w:t xml:space="preserve"> </w:t>
      </w:r>
      <w:r>
        <w:rPr>
          <w:bCs/>
          <w:b/>
        </w:rPr>
        <w:t xml:space="preserve">B2</w:t>
      </w:r>
      <w:r>
        <w:t xml:space="preserve">. An empty</w:t>
      </w:r>
      <w:r>
        <w:t xml:space="preserve"> </w:t>
      </w:r>
      <w:r>
        <w:rPr>
          <w:rStyle w:val="VerbatimChar"/>
        </w:rPr>
        <w:t xml:space="preserve">evidence_references</w:t>
      </w:r>
      <w:r>
        <w:t xml:space="preserve"> </w:t>
      </w:r>
      <w:r>
        <w:t xml:space="preserve">under a policy requiring ≥1 verified reference is an Evidence FAIL with evidence simply absent</w:t>
      </w:r>
      <w:r>
        <w:t xml:space="preserve"> </w:t>
      </w:r>
      <w:r>
        <w:t xml:space="preserve">(→ HOLD) — fixture</w:t>
      </w:r>
      <w:r>
        <w:t xml:space="preserve"> </w:t>
      </w:r>
      <w:r>
        <w:rPr>
          <w:bCs/>
          <w:b/>
        </w:rPr>
        <w:t xml:space="preserve">B4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field is present because it is part of the contract. EP-AGENT-001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test replay</w:t>
      </w:r>
      <w:r>
        <w:t xml:space="preserve"> </w:t>
      </w:r>
      <w:r>
        <w:t xml:space="preserve">resistance (UD / UW P1 reserved).</w:t>
      </w:r>
    </w:p>
    <w:bookmarkEnd w:id="20"/>
    <w:bookmarkStart w:id="21" w:name="canonical-action-hash"/>
    <w:p>
      <w:pPr>
        <w:pStyle w:val="Heading2"/>
      </w:pPr>
      <w:r>
        <w:t xml:space="preserve">2. Canonical action hash</w:t>
      </w:r>
    </w:p>
    <w:p>
      <w:pPr>
        <w:pStyle w:val="SourceCode"/>
      </w:pPr>
      <w:r>
        <w:rPr>
          <w:rStyle w:val="VerbatimChar"/>
        </w:rPr>
        <w:t xml:space="preserve">canonical = json.dumps(</w:t>
      </w:r>
      <w:r>
        <w:br/>
      </w:r>
      <w:r>
        <w:rPr>
          <w:rStyle w:val="VerbatimChar"/>
        </w:rPr>
        <w:t xml:space="preserve">    {"actor_id", "agent_id", "tenant_id", "action_type", "target", "parameters"},</w:t>
      </w:r>
      <w:r>
        <w:br/>
      </w:r>
      <w:r>
        <w:rPr>
          <w:rStyle w:val="VerbatimChar"/>
        </w:rPr>
        <w:t xml:space="preserve">    sort_keys=True, separators=(",", ":"), ensure_ascii=True)</w:t>
      </w:r>
      <w:r>
        <w:br/>
      </w:r>
      <w:r>
        <w:rPr>
          <w:rStyle w:val="VerbatimChar"/>
        </w:rPr>
        <w:t xml:space="preserve">action_hash = sha256(canonical.encode("utf-8")).hexdigest()</w:t>
      </w:r>
    </w:p>
    <w:p>
      <w:pPr>
        <w:pStyle w:val="FirstParagraph"/>
      </w:pPr>
      <w:r>
        <w:rPr>
          <w:rStyle w:val="VerbatimChar"/>
        </w:rPr>
        <w:t xml:space="preserve">framework_id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 </w:t>
      </w:r>
      <w:r>
        <w:t xml:space="preserve">are excluded from the hash so that the same benign</w:t>
      </w:r>
      <w:r>
        <w:t xml:space="preserve"> </w:t>
      </w:r>
      <w:r>
        <w:t xml:space="preserve">action produces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action_hash</w:t>
      </w:r>
      <w:r>
        <w:t xml:space="preserve"> </w:t>
      </w:r>
      <w:r>
        <w:t xml:space="preserve">across all four frameworks. That equality is part of H3.</w:t>
      </w:r>
    </w:p>
    <w:bookmarkEnd w:id="21"/>
    <w:bookmarkStart w:id="22" w:name="canonical-field-equality-for-h3"/>
    <w:p>
      <w:pPr>
        <w:pStyle w:val="Heading2"/>
      </w:pPr>
      <w:r>
        <w:t xml:space="preserve">3. Canonical-field equality (for H3)</w:t>
      </w:r>
    </w:p>
    <w:p>
      <w:pPr>
        <w:pStyle w:val="FirstParagraph"/>
      </w:pPr>
      <w:r>
        <w:t xml:space="preserve">Two normalized contracts are semantically identical when every field</w:t>
      </w:r>
      <w:r>
        <w:t xml:space="preserve"> </w:t>
      </w:r>
      <w:r>
        <w:rPr>
          <w:bCs/>
          <w:b/>
        </w:rPr>
        <w:t xml:space="preserve">except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 </w:t>
      </w:r>
      <w:r>
        <w:t xml:space="preserve">is equal, and their</w:t>
      </w:r>
      <w:r>
        <w:t xml:space="preserve"> </w:t>
      </w:r>
      <w:r>
        <w:rPr>
          <w:rStyle w:val="VerbatimChar"/>
        </w:rPr>
        <w:t xml:space="preserve">action_hash</w:t>
      </w:r>
      <w:r>
        <w:t xml:space="preserve"> </w:t>
      </w:r>
      <w:r>
        <w:t xml:space="preserve">values are equal.</w:t>
      </w:r>
    </w:p>
    <w:bookmarkEnd w:id="22"/>
    <w:bookmarkStart w:id="23" w:name="framework-specific-normalization-rules"/>
    <w:p>
      <w:pPr>
        <w:pStyle w:val="Heading2"/>
      </w:pPr>
      <w:r>
        <w:t xml:space="preserve">4. Framework-specific normalization rules</w:t>
      </w:r>
    </w:p>
    <w:p>
      <w:pPr>
        <w:pStyle w:val="FirstParagraph"/>
      </w:pPr>
      <w:r>
        <w:t xml:space="preserve">All adapters share the same normalizer logic; only the extraction of native arguments differs.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source of 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Function-tool call arguments (parsed JSON of the tool 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tool_call["args"]</w:t>
            </w:r>
            <w:r>
              <w:t xml:space="preserve"> </w:t>
            </w:r>
            <w:r>
              <w:t xml:space="preserve">in the AIMessage routed to</w:t>
            </w:r>
            <w:r>
              <w:t xml:space="preserve"> </w:t>
            </w:r>
            <w:r>
              <w:rPr>
                <w:rStyle w:val="VerbatimChar"/>
              </w:rPr>
              <w:t xml:space="preserve">ToolNode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arguments to</w:t>
            </w:r>
            <w:r>
              <w:t xml:space="preserve"> </w:t>
            </w:r>
            <w:r>
              <w:rPr>
                <w:rStyle w:val="VerbatimChar"/>
              </w:rPr>
              <w:t xml:space="preserve">BaseTool._run</w:t>
            </w:r>
            <w:r>
              <w:t xml:space="preserve"> </w:t>
            </w:r>
            <w:r>
              <w:t xml:space="preserve">(validated by the tool’s args schema)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context.arguments</w:t>
            </w:r>
            <w:r>
              <w:t xml:space="preserve"> </w:t>
            </w:r>
            <w:r>
              <w:t xml:space="preserve">on the function invocation seen by</w:t>
            </w:r>
            <w:r>
              <w:t xml:space="preserve"> </w:t>
            </w:r>
            <w:r>
              <w:rPr>
                <w:rStyle w:val="VerbatimChar"/>
              </w:rPr>
              <w:t xml:space="preserve">FunctionMiddleware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arg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  <w:r>
              <w:t xml:space="preserve"> </w:t>
            </w:r>
            <w:r>
              <w:t xml:space="preserve">(from fixture; not inferred from agent 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args["actor_id"]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_run(actor_id=...)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arguments["actor_id"]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  <w:r>
              <w:t xml:space="preserve"> </w:t>
            </w:r>
            <w:r>
              <w:t xml:space="preserve">(CrewAI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used as 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"openai_agents"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"langgraph"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"crewai"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"maf"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_run</w:t>
            </w:r>
            <w:r>
              <w:t xml:space="preserve"> </w:t>
            </w:r>
            <w:r>
              <w:t xml:space="preserve">kwargs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arg</w:t>
            </w:r>
            <w:r>
              <w:t xml:space="preserve"> </w:t>
            </w:r>
            <w:r>
              <w:rPr>
                <w:rStyle w:val="VerbatimChar"/>
              </w:rPr>
              <w:t xml:space="preserve">parameters</w:t>
            </w:r>
            <w:r>
              <w:t xml:space="preserve"> </w:t>
            </w:r>
            <w:r>
              <w:t xml:space="preserve">(dict)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args["parameters"]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_run(parameters=...)</w:t>
            </w:r>
            <w:r>
              <w:t xml:space="preserve">; if delivered as JSON string,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 </w:t>
            </w: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arguments["parameters"]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 (</w:t>
            </w:r>
            <w:r>
              <w:rPr>
                <w:rStyle w:val="VerbatimChar"/>
              </w:rPr>
              <w:t xml:space="preserve">authority_reference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current_state_reference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_run</w:t>
            </w:r>
            <w:r>
              <w:t xml:space="preserve"> </w:t>
            </w:r>
            <w:r>
              <w:t xml:space="preserve">kwargs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metadata (run IDs, thread IDs, trace IDs, crew 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into the contract; may be logged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(</w:t>
            </w:r>
            <w:r>
              <w:rPr>
                <w:rStyle w:val="VerbatimChar"/>
              </w:rPr>
              <w:t xml:space="preserve">thread_id</w:t>
            </w:r>
            <w:r>
              <w:t xml:space="preserve">, checkpoint IDs logged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(crew/task IDs logged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(logged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 native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Handoffs; parallel tool calls (</w:t>
            </w:r>
            <w:r>
              <w:rPr>
                <w:rStyle w:val="VerbatimChar"/>
              </w:rPr>
              <w:t xml:space="preserve">parallel_tool_calls=False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subgraphs,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fan-out; more than one tool call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 delegation (</w:t>
            </w:r>
            <w:r>
              <w:rPr>
                <w:rStyle w:val="VerbatimChar"/>
              </w:rPr>
              <w:t xml:space="preserve">allow_delegation=False</w:t>
            </w:r>
            <w:r>
              <w:t xml:space="preserve">), hierarchical process; more than one tool call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orchestration / workflows across agents; more than one function call per run</w:t>
            </w:r>
          </w:p>
        </w:tc>
      </w:tr>
    </w:tbl>
    <w:p>
      <w:pPr>
        <w:pStyle w:val="BodyText"/>
      </w:pPr>
      <w:r>
        <w:t xml:space="preserve">Rules that apply to every framework: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inference.</w:t>
      </w:r>
      <w:r>
        <w:t xml:space="preserve"> </w:t>
      </w:r>
      <w:r>
        <w:t xml:space="preserve">Identity, authority, and evidence come only from explicit arguments, never from agent names, prompts, roles, or model output.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coercion.</w:t>
      </w:r>
      <w:r>
        <w:t xml:space="preserve"> </w:t>
      </w:r>
      <w:r>
        <w:t xml:space="preserve">Values are passed through unchanged (e.g.,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stays numeric; no rounding, clamping, or string conversion).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enrichment.</w:t>
      </w:r>
      <w:r>
        <w:t xml:space="preserve"> </w:t>
      </w:r>
      <w:r>
        <w:t xml:space="preserve">Adapters do not add evidence, authority, or state references not present in the input.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pre-decision.</w:t>
      </w:r>
      <w:r>
        <w:t xml:space="preserve"> </w:t>
      </w:r>
      <w:r>
        <w:t xml:space="preserve">Adapters never decide ALLOW / HOLD / DENY locally; only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decides.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Benign inputs only.</w:t>
      </w:r>
      <w:r>
        <w:t xml:space="preserve"> </w:t>
      </w:r>
      <w:r>
        <w:t xml:space="preserve">Normalizers are exercised only with well-formed fixtures. Malformed/adversarial input handling is UD / UW P1 territory and is not tested.</w:t>
      </w:r>
    </w:p>
    <w:bookmarkEnd w:id="23"/>
    <w:bookmarkStart w:id="24" w:name="X9942846a4adc4e1c7b60309933116953e55eb31"/>
    <w:p>
      <w:pPr>
        <w:pStyle w:val="Heading2"/>
      </w:pPr>
      <w:r>
        <w:t xml:space="preserve">5. JSON Schema (normative, also embedded in</w:t>
      </w:r>
      <w:r>
        <w:t xml:space="preserve"> </w:t>
      </w:r>
      <w:r>
        <w:rPr>
          <w:rStyle w:val="VerbatimChar"/>
        </w:rPr>
        <w:t xml:space="preserve">scripts/validation/validate_schemas.py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"EP-AGENT-001 Request Contract 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"request_id"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"actor_id"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"agent_id"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"framework_id"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"tenant_id"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"action_type"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"target"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"parameters"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"authority_reference"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"policy_reference"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"requested_at"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"nonce"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"action_hash"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"framework_id"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"openai_agents"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"langgraph"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"crewai"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"maf"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"authority_reference"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"policy_reference"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"current_state_reference"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"^[0-9a-f]{32}$"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"^[0-9a-f]{64}$"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Xfdc260df4b36357ccd9d675c071acaea6cc6259"/>
    <w:p>
      <w:pPr>
        <w:pStyle w:val="Heading2"/>
      </w:pPr>
      <w:r>
        <w:t xml:space="preserve">6. Expected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response shape (assumed; confirmed against pinned EP version at freeze)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"ALLOW|HOLD|DENY"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"proof_record_id"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 8601&gt;"</w:t>
      </w:r>
      <w:r>
        <w:rPr>
          <w:rStyle w:val="FunctionTok"/>
        </w:rPr>
        <w:t xml:space="preserve">}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2026-10-15T23:57:21Z</dcterms:created>
  <dcterms:modified xsi:type="dcterms:W3CDTF">2026-10-15T23:57:21Z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